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GrwV 2010 — Überwachung des mengenmäßigen und chemischen Grundwasserzustands</w:t>
      </w:r>
    </w:p>
    <w:p>
      <w:r>
        <w:rPr>
          <w:color w:val="555555"/>
          <w:sz w:val="18"/>
        </w:rPr>
        <w:t xml:space="preserve">Grundwasserverordnung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jedem Grundwasserkörper sind Messstellen für eine repräsentative Überwachung des mengenmäßigen Grundwasserzustands nach Maßgabe der Anlage 3 und des chemischen Grundwasserzustands nach Maßgabe der Anlage 4 Nummer 1 zu errichten und zu betreiben.</w:t>
      </w:r>
    </w:p>
    <w:p>
      <w:r>
        <w:t xml:space="preserve">(2) Auf der Grundlage der Beschreibung der Grundwasserkörper gemäß Anlage 1 und der Beurteilung des Risikos nach § 2 Absatz 2 ist für die Geltungsdauer des Bewirtschaftungsplans nach § 83 des Wasserhaushaltsgesetzes ein Programm für die Überblicksüberwachung des chemischen Grundwasserzustands aller Grundwasserkörper nach Maßgabe der Anlage 4 Nummer 2 aufzustellen. Werden nach den Ergebnissen der Überblicksüberwachung die Bewirtschaftungsziele nach § 47 des Wasserhaushaltsgesetzes nicht erreicht oder sind Grundwasserkörper nach § 3 Absatz 1 als gefährdet eingestuft, ist zwischen den Zeiträumen der Überblicksüberwachung eine operative Überwachung des chemischen Grundwasserzustands nach Anlage 4 Nummer 3 durchzuführen.</w:t>
      </w:r>
    </w:p>
    <w:p>
      <w:r>
        <w:t xml:space="preserve">(3) Die Untersuchungen sind nach den Kontroll- und Analysemethoden nach Anlage 5 durchzuführen.</w:t>
      </w:r>
    </w:p>
    <w:p>
      <w:r>
        <w:rPr>
          <w:color w:val="555555"/>
          <w:sz w:val="17"/>
        </w:rPr>
        <w:t xml:space="preserve">Zitiervorschlag: § 9 GrwV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https://recht.nulegal.eu/gesetze/GrwV%202010/9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GrwV 2010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