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GrwV 2010 — Einstufung des chemischen Grundwasserzustands</w:t>
      </w:r>
    </w:p>
    <w:p>
      <w:r>
        <w:rPr>
          <w:color w:val="555555"/>
          <w:sz w:val="18"/>
        </w:rPr>
        <w:t xml:space="preserve">Grundwasserverordnung</w:t>
      </w:r>
    </w:p>
    <w:p>
      <w:r>
        <w:rPr>
          <w:color w:val="555555"/>
          <w:sz w:val="18"/>
        </w:rPr>
        <w:t xml:space="preserve">Stand: 10.06.2019 (konsolidierte Textfassung, kein amtliches Inkrafttretensdatum)</w:t>
      </w:r>
    </w:p>
    <w:p>
      <w:r>
        <w:t xml:space="preserve">(1) Die zuständige Behörde stuft den chemischen Grundwasserzustand als gut oder schlecht ein.</w:t>
      </w:r>
    </w:p>
    <w:p>
      <w:r>
        <w:t xml:space="preserve">(2) Der chemische Grundwasserzustand ist gut, wenn</w:t>
      </w:r>
    </w:p>
    <w:p>
      <w:pPr>
        <w:ind w:left="420"/>
      </w:pPr>
      <w:r>
        <w:t xml:space="preserve">1. die in Anlage 2 enthaltenen oder die nach § 5 Absatz 1 Satz 2 oder Absatz 3 festgelegten Schwellenwerte an keiner Messstelle nach § 9 Absatz 1 im Grundwasserkörper überschritten werden oder,</w:t>
      </w:r>
    </w:p>
    <w:p>
      <w:pPr>
        <w:ind w:left="420"/>
      </w:pPr>
      <w:r>
        <w:t xml:space="preserve">2. durch die Überwachung nach § 9 festgestellt wird, dass</w:t>
      </w:r>
    </w:p>
    <w:p>
      <w:pPr>
        <w:ind w:left="780"/>
      </w:pPr>
      <w:r>
        <w:t xml:space="preserve">a) es keine Anzeichen für Einträge von Schadstoffen auf Grund menschlicher Tätigkeiten gibt, wobei Änderungen der elektrischen Leitfähigkeit bei Salzen allein keinen ausreichenden Hinweis auf derartige Einträge geben,</w:t>
      </w:r>
    </w:p>
    <w:p>
      <w:pPr>
        <w:ind w:left="780"/>
      </w:pPr>
      <w:r>
        <w:t xml:space="preserve">b) die Grundwasserbeschaffenheit keine signifikante Verschlechterung des ökologischen oder chemischen Zustands der Oberflächengewässer zur Folge hat und dementsprechend nicht zu einem Verfehlen der Bewirtschaftungsziele in den mit dem Grundwasser in hydraulischer Verbindung stehender Oberflächengewässern führt und</w:t>
      </w:r>
    </w:p>
    <w:p>
      <w:pPr>
        <w:ind w:left="780"/>
      </w:pPr>
      <w:r>
        <w:t xml:space="preserve">c) die Grundwasserbeschaffenheit nicht zu einer signifikanten Schädigung unmittelbar von dem Grundwasserkörper abhängender Landökosysteme führt.</w:t>
      </w:r>
    </w:p>
    <w:p>
      <w:r>
        <w:t xml:space="preserve">(3) Wird ein Schwellenwert an Messstellen nach § 9 Absatz 1 überschritten, kann der chemische Grundwasserzustand auch dann noch als gut eingestuft werden, wenn</w:t>
      </w:r>
    </w:p>
    <w:p>
      <w:pPr>
        <w:ind w:left="420"/>
      </w:pPr>
      <w:r>
        <w:t xml:space="preserve">1. eine der nachfolgenden flächenbezogenen Voraussetzungen erfüllt ist:</w:t>
      </w:r>
    </w:p>
    <w:p>
      <w:pPr>
        <w:ind w:left="780"/>
      </w:pPr>
      <w:r>
        <w:t xml:space="preserve">a) die nach § 6 Absatz 2 für jeden relevanten Stoff oder jede relevante Stoffgruppe ermittelte Flächensumme beträgt weniger als ein Fünftel der Fläche des Grundwasserkörpers oder</w:t>
      </w:r>
    </w:p>
    <w:p>
      <w:pPr>
        <w:ind w:left="780"/>
      </w:pPr>
      <w:r>
        <w:t xml:space="preserve">b) bei nachteiligen Veränderungen des Grundwassers durch schädliche Bodenveränderungen oder Altlasten ist die festgestellte oder die in absehbarer Zeit zu erwartende Ausdehnung der Überschreitung für jeden relevanten Stoff oder jede relevante Stoffgruppe auf insgesamt weniger als 25 Quadratkilometer pro Grundwasserkörper und bei Grundwasserkörpern, die kleiner als 250 Quadratkilometer sind, auf weniger als ein Zehntel der Fläche des Grundwasserkörpers begrenzt,</w:t>
      </w:r>
    </w:p>
    <w:p>
      <w:pPr>
        <w:ind w:left="420"/>
      </w:pPr>
      <w:r>
        <w:t xml:space="preserve">2. das im Einzugsgebiet einer Trinkwassergewinnungsanlage mit einer Wasserentnahme von mehr als 100 Kubikmeter am Tag gewonnene Wasser unter Berücksichtigung des angewandten Aufbereitungsverfahrens nicht den dem Schwellenwert entsprechenden Grenzwert der Trinkwasserverordnung überschreitet, und</w:t>
      </w:r>
    </w:p>
    <w:p>
      <w:pPr>
        <w:ind w:left="420"/>
      </w:pPr>
      <w:r>
        <w:t xml:space="preserve">3. die Nutzungsmöglichkeiten des Grundwassers nicht signifikant beeinträchtigt werden.</w:t>
      </w:r>
    </w:p>
    <w:p>
      <w:r>
        <w:t xml:space="preserve">Messstellen, an denen die Überschreitung eines Schwellenwertes auf natürliche, nicht durch menschliche Tätigkeiten verursachte Gründe zurückzuführen ist, werden wie Messstellen behandelt, an denen die Schwellenwerte eingehalten werden.</w:t>
      </w:r>
    </w:p>
    <w:p>
      <w:r>
        <w:t xml:space="preserve">(4) Wird ein Grundwasserkörper nach Maßgabe des Absatzes 3 in den guten chemischen Zustand eingestuft, veranlasst die zuständige Behörde in den von Überschreitungen der Schwellenwerte betroffenen Teilbereichen die nach § 82 des Wasserhaushaltsgesetzes erforderlichen Maßnahmen, wenn dies zum Schutz von Gewässerökosystemen, Landökosystemen oder Grundwassernutzungen notwendig ist.</w:t>
      </w:r>
    </w:p>
    <w:p>
      <w:r>
        <w:t xml:space="preserve">(5) Die zuständige Behörde veröffentlicht im Bewirtschaftungsplan nach § 83 des Wasserhaushaltsgesetzes eine Zusammenfassung der Einstufung des chemischen Grundwasserzustands auf der Ebene der Flussgebietseinheiten. Die Zusammenfassung enthält auch eine Darstellung, wie Überschreitungen von Schwellenwerten bei der Einstufung berücksichtigt worden sind.</w:t>
      </w:r>
    </w:p>
    <w:p>
      <w:r>
        <w:rPr>
          <w:color w:val="555555"/>
          <w:sz w:val="17"/>
        </w:rPr>
        <w:t xml:space="preserve">Zitiervorschlag: § 7 GrwV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https://recht.nulegal.eu/gesetze/GrwV%202010/7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