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GrwV 2010 — Gefährdete Grundwasserkörper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Grundwasserkörper, bei denen das Risiko besteht, dass sie die Bewirtschaftungsziele nach § 47 des Wasserhaushaltsgesetzes nicht erreichen, werden von der zuständigen Behörde als gefährdet eingestuft. Von einem solchen Risiko ist insbesondere auszugehen, wenn zu erwarten ist, dass die in Anlage 2 aufgeführten oder die nach § 5 Absatz 1 Satz 2 oder Absatz 2 festgelegten Schwellenwerte überschritten werden oder dass die mittlere jährliche Grundwasserentnahme das nutzbare Grundwasserdargebot übersteigt.</w:t>
      </w:r>
    </w:p>
    <w:p>
      <w:r>
        <w:t xml:space="preserve">(2) Für gefährdete Grundwasserkörper nach Absatz 1 ist eine weitergehende Beschreibung nach Anlage 1 Nummer 2 und Nummer 3 durch die zuständige Behörde vorzunehmen, um das Ausmaß des Risikos, dass sie die Bewirtschaftungsziele nicht erreichen, genauer beurteilen zu können, und um zu ermitteln, welche Maßnahmen in das Maßnahmenprogramm nach § 82 des Wasserhaushaltsgesetzes aufzunehmen sind.</w:t>
      </w:r>
    </w:p>
    <w:p>
      <w:r>
        <w:t xml:space="preserve">(3) Zum 22. Dezember 2013 und danach alle sechs Jahre überprüft und aktualisiert die zuständige Behörde die weitergehende Beschreibung nach Absatz 2.</w:t>
      </w:r>
    </w:p>
    <w:p>
      <w:r>
        <w:rPr>
          <w:color w:val="555555"/>
          <w:sz w:val="17"/>
        </w:rPr>
        <w:t xml:space="preserve">Zitiervorschlag: § 3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