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GrwV 2010 — Bestimmung und Beschreibung der Grundwasserkörper</w:t>
      </w:r>
    </w:p>
    <w:p>
      <w:r>
        <w:rPr>
          <w:color w:val="555555"/>
          <w:sz w:val="18"/>
        </w:rPr>
        <w:t xml:space="preserve">Grundwasserverordnung</w:t>
      </w:r>
    </w:p>
    <w:p>
      <w:r>
        <w:rPr>
          <w:color w:val="555555"/>
          <w:sz w:val="18"/>
        </w:rPr>
        <w:t xml:space="preserve">Stand: 10.06.2019 (konsolidierte Textfassung, kein amtliches Inkrafttretensdatum)</w:t>
      </w:r>
    </w:p>
    <w:p>
      <w:r>
        <w:t xml:space="preserve">(1) Zum 22. Dezember 2013 und danach alle sechs Jahre überprüft und aktualisiert die zuständige Behörde</w:t>
      </w:r>
    </w:p>
    <w:p>
      <w:pPr>
        <w:ind w:left="420"/>
      </w:pPr>
      <w:r>
        <w:t xml:space="preserve">1. die Festlegung von Lage und Grenzen der Grundwasserkörper im Sinne des § 3 Nummer 6 des Wasserhaushaltsgesetzes insbesondere unter Berücksichtigung von Daten zur Hydrologie, Hydrogeologie, Geologie und Landnutzung und</w:t>
      </w:r>
    </w:p>
    <w:p>
      <w:pPr>
        <w:ind w:left="420"/>
      </w:pPr>
      <w:r>
        <w:t xml:space="preserve">2. die Beschreibung der Grundwasserkörper nach Maßgabe der Anlage 1 Nummer 1.</w:t>
      </w:r>
    </w:p>
    <w:p>
      <w:r>
        <w:t xml:space="preserve">(2) In der Beschreibung nach Absatz 1 Nummer 2 ist anzugeben, welchen Nutzungen die Grundwasserkörper unterliegen und wie hoch das Risiko ist, dass durch diese Nutzungen die für die Grundwasserkörper nach § 47 des Wasserhaushaltsgesetzes festgelegten Bewirtschaftungsziele nicht erreicht werden.</w:t>
      </w:r>
    </w:p>
    <w:p>
      <w:r>
        <w:t xml:space="preserve">(3) Bei einem Grundwasserkörper, der sich über die Grenzen der Bundesrepublik Deutschland hinaus auch auf das Hoheitsgebiet eines oder mehrerer Mitgliedstaaten der Europäischen Union erstreckt, sind die Informationen über die relevanten menschlichen Tätigkeiten und ihre Auswirkungen auf die Beschaffenheit des Grundwassers nach Maßgabe der Anlage 1 Nummer 3 zu ermitteln und aufzubewahren, soweit dies für die Beurteilung des Grundwasserkörpers von Bedeutung ist.</w:t>
      </w:r>
    </w:p>
    <w:p>
      <w:r>
        <w:rPr>
          <w:color w:val="555555"/>
          <w:sz w:val="17"/>
        </w:rPr>
        <w:t xml:space="preserve">Zitiervorschlag: § 2 GrwV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https://recht.nulegal.eu/gesetze/GrwV%202010/2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