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GrwV 2010 — Steigender Trend von Schadstoffkonzentrationen, Trendumkehr</w:t>
      </w:r>
    </w:p>
    <w:p>
      <w:r>
        <w:rPr>
          <w:color w:val="555555"/>
          <w:sz w:val="18"/>
        </w:rPr>
        <w:t xml:space="preserve">Grundwasserverordnung</w:t>
      </w:r>
    </w:p>
    <w:p>
      <w:r>
        <w:rPr>
          <w:color w:val="555555"/>
          <w:sz w:val="18"/>
        </w:rPr>
        <w:t xml:space="preserve">Stand: 10.06.2019 (konsolidierte Textfassung, kein amtliches Inkrafttretensdatum)</w:t>
      </w:r>
    </w:p>
    <w:p>
      <w:r>
        <w:t xml:space="preserve">(1) Auf der Grundlage der Überblicksüberwachung und der operativen Überwachung nach § 9 Absatz 2 ermittelt die zuständige Behörde für jeden Grundwasserkörper, der nach § 3 Absatz 1 als gefährdet eingestuft worden ist, jeden signifikanten und anhaltenden steigenden Trend im Grundwasserkörper nach Maßgabe der Anlage 6.</w:t>
      </w:r>
    </w:p>
    <w:p>
      <w:r>
        <w:t xml:space="preserve">(2) Liegt ein Trend nach Anlage 6 Nummer 1 vor, der zu einer signifikanten Gefahr für die Qualität der Gewässer- oder Landökosysteme, für die menschliche Gesundheit oder die potentiellen oder tatsächlichen legitimen Nutzungen der Gewässer führen kann, veranlasst die zuständige Behörde die erforderlichen Maßnahmen zur Trendumkehr. Maßnahmen zur Trendumkehr sind erforderlich, wenn die Schadstoffkonzentration drei Viertel des Schwellenwertes, der gemäß § 5 Absatz 1 festgelegt worden ist, erreicht. Die zuständige Behörde legt frühere Ausgangskonzentrationen für Maßnahmen der Trendumkehr fest, soweit dies aus Gründen des Schutzes der Trinkwasserversorgung oder Gewässer- oder Landökosysteme erforderlich ist. Sie bestimmt eine höhere Ausgangskonzentration für Maßnahmen der Trendumkehr, wenn</w:t>
      </w:r>
    </w:p>
    <w:p>
      <w:pPr>
        <w:ind w:left="420"/>
      </w:pPr>
      <w:r>
        <w:t xml:space="preserve">1. die Bestimmungsgrenze für bestimmte Schadstoffe es nicht ermöglicht, eine Ausgangskonzentration in Höhe von drei Vierteln des Schwellenwertes nach Anlage 2 festzusetzen, oder</w:t>
      </w:r>
    </w:p>
    <w:p>
      <w:pPr>
        <w:ind w:left="420"/>
      </w:pPr>
      <w:r>
        <w:t xml:space="preserve">2. Schwellenwerte nach § 5 Absatz 3 festgelegt wurden.</w:t>
      </w:r>
    </w:p>
    <w:p>
      <w:r>
        <w:t xml:space="preserve">(3) Innerhalb der Laufzeit eines Bewirtschaftungsplans nach § 83 des Wasserhaushaltsgesetzes darf die Ausgangskonzentration für Maßnahmen der Trendumkehr nicht geändert werden.</w:t>
      </w:r>
    </w:p>
    <w:p>
      <w:r>
        <w:t xml:space="preserve">(4) Die Trendermittlung ist unter Berücksichtigung der Untersuchungsergebnisse des ersten Bewirtschaftungsplans nach § 83 des Wasserhaushaltsgesetzes durchzuführen und regelmäßig, mindestens alle sechs Jahre zu wiederholen.</w:t>
      </w:r>
    </w:p>
    <w:p>
      <w:r>
        <w:t xml:space="preserve">(5) Die Untersuchungen sind nach den Kontroll- und Analysemethoden der Anlage 5 durchzuführen.</w:t>
      </w:r>
    </w:p>
    <w:p>
      <w:r>
        <w:t xml:space="preserve">(6) Im Bewirtschaftungsplan 2015 und danach alle sechs Jahre ist über die Art der Trendermittlung und über die Gründe für die Festlegung der Trendumkehrpunkte zu berichten.</w:t>
      </w:r>
    </w:p>
    <w:p>
      <w:r>
        <w:rPr>
          <w:color w:val="555555"/>
          <w:sz w:val="17"/>
        </w:rPr>
        <w:t xml:space="preserve">Zitiervorschlag: § 10 GrwV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https://recht.nulegal.eu/gesetze/GrwV%202010/10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