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GrundWertVO NRW (Nordrhein-Westfalen) — Entschädigung</w:t>
      </w:r>
    </w:p>
    <w:p>
      <w:r>
        <w:rPr>
          <w:color w:val="555555"/>
          <w:sz w:val="18"/>
        </w:rPr>
        <w:t xml:space="preserve">Grundstückswertermittlungsverordnung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11 gilt entsprechend.</w:t>
      </w:r>
    </w:p>
    <w:p>
      <w:r>
        <w:rPr>
          <w:color w:val="555555"/>
          <w:sz w:val="17"/>
        </w:rPr>
        <w:t xml:space="preserve">Zitiervorschlag: § 21 GrundWertVO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https://recht.nulegal.eu/gesetze/GrundWertVO%20NRW/21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