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GruWErlDBest</w:t>
      </w:r>
    </w:p>
    <w:p>
      <w:r>
        <w:rPr>
          <w:color w:val="555555"/>
          <w:sz w:val="18"/>
        </w:rPr>
        <w:t xml:space="preserve">Durchführungsbestimmungen zum Erlaß über die Stiftung des Grubenwehr-Ehrenzeichens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des Erlasses über die Stiftung des Grubenwehr-Ehrenzeichens vom 14. Juli 1953 wird für die Einreichung und Behandlung der Vorschläge folgendes bestimmt:</w:t>
      </w:r>
    </w:p>
    <w:p>
      <w:r>
        <w:rPr>
          <w:color w:val="555555"/>
          <w:sz w:val="17"/>
        </w:rPr>
        <w:t xml:space="preserve">Zitiervorschlag: Eingangsformel GruWErlDBest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https://recht.nulegal.eu/gesetze/GruWErlDBest/eingangsformel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