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GruWErlDBest</w:t>
      </w:r>
    </w:p>
    <w:p>
      <w:r>
        <w:rPr>
          <w:color w:val="555555"/>
          <w:sz w:val="18"/>
        </w:rPr>
        <w:t xml:space="preserve">Durchführungsbestimmungen zum Erlaß über die Stiftung des Grubenwehr-Ehrenzeichens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Personen, denen auf Grund der Verordnung vom 30. Januar 1938 (Reichsgesetzbl. I S. 83) das Grubenwehr-Ehrenzeichen verliehen worden ist, können den Umtausch dieses Ehrenzeichens in das neu gestiftete Grubenwehr-Ehrenzeichen in Silber bei den in § 1 genannten Vorschlagsberechtigten beantragen.</w:t>
      </w:r>
    </w:p>
    <w:p>
      <w:r>
        <w:rPr>
          <w:color w:val="555555"/>
          <w:sz w:val="17"/>
        </w:rPr>
        <w:t xml:space="preserve">Zitiervorschlag: § 3 GruWErlDBest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https://recht.nulegal.eu/gesetze/GruWErlDBest/3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