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GruWErlDBest</w:t>
      </w:r>
    </w:p>
    <w:p>
      <w:r>
        <w:rPr>
          <w:color w:val="555555"/>
          <w:sz w:val="18"/>
        </w:rPr>
        <w:t xml:space="preserve">Durchführungsbestimmungen zum 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Verleihungsurkunden werden vom Chef des Bundespräsidialamtes nach Vollziehung der Unterschrift durch den Bundespräsidenten zusammen mit den Grubenwehr-Ehrenzeichen den in § 1 Abs. 1 Genannten übersandt. Diese veranlassen die Aushändigung an die Beliehenen und teilen dies dem Bundespräsidialamt zur Vervollständigung der Namenskartei (§ 1 Abs. 3) mit.</w:t>
      </w:r>
    </w:p>
    <w:p>
      <w:r>
        <w:rPr>
          <w:color w:val="555555"/>
          <w:sz w:val="17"/>
        </w:rPr>
        <w:t xml:space="preserve">Zitiervorschlag: § 2 GruWErlDBest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https://recht.nulegal.eu/gesetze/GruWErlDBest/2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