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GruWErl</w:t>
      </w:r>
    </w:p>
    <w:p>
      <w:r>
        <w:rPr>
          <w:color w:val="555555"/>
          <w:sz w:val="18"/>
        </w:rPr>
        <w:t xml:space="preserve">Erlaß über die Stiftung des Grubenwehr-Ehrenzeichens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Verleihung des Grubenwehr-Ehrenzeichens erhält der Ausgezeichnete eine Verleihungsurkunde mit der Unterschrift des Bundespräsidenten.</w:t>
      </w:r>
    </w:p>
    <w:p>
      <w:r>
        <w:t xml:space="preserve">(2) Das Grubenwehr-Ehrenzeichen geht in das Eigentum des Beliehenen über. Eine Rückgabepflicht seiner Hinterbliebenen besteht nicht.</w:t>
      </w:r>
    </w:p>
    <w:p>
      <w:r>
        <w:rPr>
          <w:color w:val="555555"/>
          <w:sz w:val="17"/>
        </w:rPr>
        <w:t xml:space="preserve">Zitiervorschlag: § 5 GruWErl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https://recht.nulegal.eu/gesetze/GruWErl/5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