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 GroMiKV 2014 — GbR</w:t>
      </w:r>
    </w:p>
    <w:p>
      <w:r>
        <w:rPr>
          <w:color w:val="555555"/>
          <w:sz w:val="18"/>
        </w:rPr>
        <w:t xml:space="preserve">Großkredit- und Millionenkreditverordnung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(Fundstelle: BGBl. I 2013, 4197 - 4198; bezüglich der einzelnen Änderungen vgl. Fußnote)</w:t>
      </w:r>
    </w:p>
    <w:p>
      <w:r>
        <w:rPr>
          <w:color w:val="555555"/>
          <w:sz w:val="17"/>
        </w:rPr>
        <w:t xml:space="preserve">Zitiervorschlag: Anlage 4 GroMiKV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https://recht.nulegal.eu/gesetze/GroMiKV%202014/anlage-4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