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GroMiKV 2014 — Meldeformular EA</w:t>
      </w:r>
    </w:p>
    <w:p>
      <w:r>
        <w:rPr>
          <w:color w:val="555555"/>
          <w:sz w:val="18"/>
        </w:rPr>
        <w:t xml:space="preserve">Großkredit- und Millionenkreditverordnung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I 2019, 153 - 154; bezüglich der einzelnen Änderungen vgl. Fußnote)</w:t>
      </w:r>
    </w:p>
    <w:p>
      <w:r>
        <w:rPr>
          <w:rFonts w:ascii="Courier New" w:hAnsi="Courier New"/>
          <w:sz w:val="17"/>
        </w:rPr>
        <w:t xml:space="preserve">    Einzelmeldung Kreditnehmer für Millionenkreditanzeigen nach § 14 KWG    </w:t>
      </w:r>
    </w:p>
    <w:p>
      <w:r>
        <w:rPr>
          <w:rFonts w:ascii="Courier New" w:hAnsi="Courier New"/>
          <w:sz w:val="17"/>
        </w:rPr>
        <w:t xml:space="preserve">    An die Deutsche Bundesbank Hauptverwaltung            Meldetermin    </w:t>
      </w:r>
    </w:p>
    <w:p>
      <w:r>
        <w:rPr>
          <w:rFonts w:ascii="Courier New" w:hAnsi="Courier New"/>
          <w:sz w:val="17"/>
        </w:rPr>
        <w:t xml:space="preserve">    Kreditgeber/Übergeordnetes Unternehmen – Name    – ID    </w:t>
      </w:r>
    </w:p>
    <w:p>
      <w:r>
        <w:rPr>
          <w:rFonts w:ascii="Courier New" w:hAnsi="Courier New"/>
          <w:sz w:val="17"/>
        </w:rPr>
        <w:t xml:space="preserve">    Kreditgeber/Nachgeordnetes Unternehmen – Name    – ID    </w:t>
      </w:r>
    </w:p>
    <w:p>
      <w:r>
        <w:rPr>
          <w:rFonts w:ascii="Courier New" w:hAnsi="Courier New"/>
          <w:sz w:val="17"/>
        </w:rPr>
        <w:t xml:space="preserve">        wird durch die Bundesbank ausgefüllt    </w:t>
      </w:r>
    </w:p>
    <w:p>
      <w:r>
        <w:rPr>
          <w:rFonts w:ascii="Courier New" w:hAnsi="Courier New"/>
          <w:sz w:val="17"/>
        </w:rPr>
        <w:t xml:space="preserve">        Kreditnehmereinheit – ID    </w:t>
      </w:r>
    </w:p>
    <w:p>
      <w:r>
        <w:rPr>
          <w:rFonts w:ascii="Courier New" w:hAnsi="Courier New"/>
          <w:sz w:val="17"/>
        </w:rPr>
        <w:t xml:space="preserve">    Kreditnehmer    – Name/Firma (lt. Registereintragung)    – ID (falls bekannt)    Kreditnehmer – ID    </w:t>
      </w:r>
    </w:p>
    <w:p>
      <w:r>
        <w:rPr>
          <w:rFonts w:ascii="Courier New" w:hAnsi="Courier New"/>
          <w:sz w:val="17"/>
        </w:rPr>
        <w:t xml:space="preserve">    Postleitzahl[1]    Sitz[2]    Staat[3]    ISO-Code (Staat)[4]    Wirtschaftszweig – Code[5]    </w:t>
      </w:r>
    </w:p>
    <w:p>
      <w:r>
        <w:rPr>
          <w:rFonts w:ascii="Courier New" w:hAnsi="Courier New"/>
          <w:sz w:val="17"/>
        </w:rPr>
        <w:t xml:space="preserve">    Steuernummer[6]    Registereintragung – Art und Nummer[7]    Registereintragung – Ort7    Bundesstaat[8]    </w:t>
      </w:r>
    </w:p>
    <w:p>
      <w:r>
        <w:rPr>
          <w:rFonts w:ascii="Courier New" w:hAnsi="Courier New"/>
          <w:sz w:val="17"/>
        </w:rPr>
        <w:t xml:space="preserve">    Geburtsdatum[9]    Beruf9    ISIN[10]    LEI[11]    </w:t>
      </w:r>
    </w:p>
    <w:p>
      <w:r>
        <w:rPr>
          <w:rFonts w:ascii="Courier New" w:hAnsi="Courier New"/>
          <w:sz w:val="17"/>
        </w:rPr>
        <w:t xml:space="preserve">    Kreditnehmereinheit[12]    – Name/Firma    – ID (falls bekannt)    Kreditnehmerergänzungsschlüssel    </w:t>
      </w:r>
    </w:p>
    <w:p>
      <w:r>
        <w:rPr>
          <w:rFonts w:ascii="Courier New" w:hAnsi="Courier New"/>
          <w:sz w:val="17"/>
        </w:rPr>
        <w:t xml:space="preserve">    Begründung der Zuordnung – Code[13]    Referenzschuldner – Name[14]    – ID (falls bekannt)    Referenzschuldner – ID    </w:t>
      </w:r>
    </w:p>
    <w:p>
      <w:r>
        <w:rPr>
          <w:rFonts w:ascii="Courier New" w:hAnsi="Courier New"/>
          <w:sz w:val="17"/>
        </w:rPr>
        <w:t xml:space="preserve">    Kreditnehmereinheit – Begründung (z. B. Kapital- und Gesellschaftsverhältnisse)    </w:t>
      </w:r>
    </w:p>
    <w:p>
      <w:r>
        <w:rPr>
          <w:rFonts w:ascii="Courier New" w:hAnsi="Courier New"/>
          <w:sz w:val="17"/>
        </w:rPr>
        <w:t xml:space="preserve">        Laufende Nummer[15]    </w:t>
      </w:r>
    </w:p>
    <w:p>
      <w:r>
        <w:rPr>
          <w:rFonts w:ascii="Courier New" w:hAnsi="Courier New"/>
          <w:sz w:val="17"/>
        </w:rPr>
        <w:t xml:space="preserve">    Betragsdatenidentifikation                        </w:t>
      </w:r>
    </w:p>
    <w:p>
      <w:r>
        <w:rPr>
          <w:rFonts w:ascii="Courier New" w:hAnsi="Courier New"/>
          <w:sz w:val="17"/>
        </w:rPr>
        <w:t xml:space="preserve">    Melderelevanz – Code    Position BA 100[16]    Filiale    Zusatzangaben    </w:t>
      </w:r>
    </w:p>
    <w:p>
      <w:r>
        <w:rPr>
          <w:rFonts w:ascii="Courier New" w:hAnsi="Courier New"/>
          <w:sz w:val="17"/>
        </w:rPr>
        <w:t xml:space="preserve">    Sachbearbeiter/-in    Telefon    E-Mail    </w:t>
      </w:r>
    </w:p>
    <w:p>
      <w:r>
        <w:t xml:space="preserve">1 Die Postleitzahl ist nur für inländische Kreditnehmer anzugeben.</w:t>
      </w:r>
    </w:p>
    <w:p>
      <w:r>
        <w:t xml:space="preserve">2 Als Sitz ist der juristische Sitz oder der Wohnsitz zu melden.</w:t>
      </w:r>
    </w:p>
    <w:p>
      <w:r>
        <w:t xml:space="preserve">3 Der Staat ist ausschließlich für ausländische Kreditnehmer anzuzeigen.</w:t>
      </w:r>
    </w:p>
    <w:p>
      <w:r>
        <w:t xml:space="preserve">4 Ein ISO-Code ist nur für ausländische Kreditnehmer anzugeben. Es ist die zweibuchstabige (ALPHA-2) Codierung nach ISO 3166-1, herausgegeben von der International Organization for Standardization (ISO), zu verwenden.</w:t>
      </w:r>
    </w:p>
    <w:p>
      <w:r>
        <w:t xml:space="preserve">5 Es ist der Wirtschaftszweig gemäß Veröffentlichung „Bankenstatistik Kundensystematik“ der Deutschen Bundesbank zu verwenden.</w:t>
      </w:r>
    </w:p>
    <w:p>
      <w:r>
        <w:t xml:space="preserve">6 Dieses Feld kann bei ausländischen Kreditnehmern ohne Registernummer befüllt werden.</w:t>
      </w:r>
    </w:p>
    <w:p>
      <w:r>
        <w:t xml:space="preserve">7 Die Registereintragung ist für eingetragene Kreditnehmer im Inland und in bestimmten anderen Ländern stets anzugeben.</w:t>
      </w:r>
    </w:p>
    <w:p>
      <w:r>
        <w:t xml:space="preserve">8 Bei der Anzeige eines Kreditnehmers mit Sitz in den USA (Vereinigte Staaten von Amerika) ist die Angabe des amerikanischen Bundesstaates erforderlich.</w:t>
      </w:r>
    </w:p>
    <w:p>
      <w:r>
        <w:t xml:space="preserve">9 Geburtsdatum und Beruf sind ausschließlich für natürliche Personen anzugeben.</w:t>
      </w:r>
    </w:p>
    <w:p>
      <w:r>
        <w:t xml:space="preserve">10 Bei der Anzeige eines Investmentfonds ist die Internationale Wertpapierkennnummer (ISIN) zu melden. Dies gilt auch für andere Konstrukte, für die nur eine ISIN existiert.</w:t>
      </w:r>
    </w:p>
    <w:p>
      <w:r>
        <w:t xml:space="preserve">11 Sofern eine einheitliche Identifikationsnummer „Legal Entity Identifier“ (LEI) existiert, ist diese anzugeben. Vorläufer der LEI, sog. Pre-LEI´s, sind ebenfalls zu berücksichtigen.</w:t>
      </w:r>
    </w:p>
    <w:p>
      <w:r>
        <w:t xml:space="preserve">12 Bei einer Erstanzeige oder der Veränderung einer Kreditnehmereinheit ist eine Begründung erforderlich (ggf. auf gesondertem Blatt).</w:t>
      </w:r>
    </w:p>
    <w:p>
      <w:r>
        <w:t xml:space="preserve">13 Die Begründung der Zuordnung gibt den Zuordnungstatbestand nach § 19 Abs. 2 KWG an. Die entsprechende Code-Tabelle ist in den technischen Durchführungsbestimmungen für Millionenkredite nach § 14 KWG definiert.</w:t>
      </w:r>
    </w:p>
    <w:p>
      <w:r>
        <w:t xml:space="preserve">14 Der Referenzschuldner ist der Kreditnehmer, der hierarchisch die nächsthöhere Ebene in dieser Kreditnehmereinheit darstellt.</w:t>
      </w:r>
    </w:p>
    <w:p>
      <w:r>
        <w:t xml:space="preserve">15 Alle Vordrucke EA sind für einen bestimmten Meldetermin eindeutig zu nummerieren.</w:t>
      </w:r>
    </w:p>
    <w:p>
      <w:r>
        <w:t xml:space="preserve">16 Es ist der Betrag der Position BA 100 aus dem zugehörigen Betragsdatensatz anzugeben.</w:t>
      </w:r>
    </w:p>
    <w:p>
      <w:r>
        <w:t xml:space="preserve">Weitere Erläuterungen sind den technischen Durchführungsbestimmungen für Millionenkredite nach § 14 KWG zu entnehmen, die unter https://www.bundesbank.de/de/service/meldewesen/bankenaufsicht-formular-center/meldungen veröffentlicht sind.</w:t>
      </w:r>
    </w:p>
    <w:p>
      <w:r>
        <w:rPr>
          <w:color w:val="555555"/>
          <w:sz w:val="17"/>
        </w:rPr>
        <w:t xml:space="preserve">Zitiervorschlag: Anlage 2 GroMiKV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https://recht.nulegal.eu/gesetze/GroMiKV%202014/anlage-2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