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GroMiKV 2014 — Ausnahmen von der Beschlussfassungspflicht nach § 13 Absatz 2 des Kreditwesengesetzes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28.06.2021 (konsolidierte Textfassung, kein amtliches Inkrafttretensdatum)</w:t>
      </w:r>
    </w:p>
    <w:p>
      <w:r>
        <w:t xml:space="preserve">(1) Ein Geschäftsleiterbeschluss nach § 13 Absatz 2 und 3 des Kreditwesengesetzes ist nicht erforderlich bei</w:t>
      </w:r>
    </w:p>
    <w:p>
      <w:pPr>
        <w:ind w:left="420"/>
      </w:pPr>
      <w:r>
        <w:t xml:space="preserve">1. Risikopositionen im Sinne des § 1 Nummer 1, 3 bis 5 und 8 bis 10 sowie</w:t>
      </w:r>
    </w:p>
    <w:p>
      <w:pPr>
        <w:ind w:left="420"/>
      </w:pPr>
      <w:r>
        <w:t xml:space="preserve">2. Risikopositionen im Sinne des Artikels 400 Absatz 1 Satz 1 Buchstabe a bis e, g bis h, j und l sowie Satz 2 der Verordnung (EU) Nr. 575/2013.</w:t>
      </w:r>
    </w:p>
    <w:p>
      <w:r>
        <w:t xml:space="preserve">(2) Ein bereits von den Geschäftsleitern beschlossener Großkredit nach § 13 Absatz 2 und 3 des Kreditwesengesetzes muss von ihnen nicht erneut beschlossen werden, auch wenn er durch Änderung von Devisenkursen oder anderen Marktpreisen die Großkreditdefinitionsgrenze nach Artikel 392 der Verordnung (EU) Nr. 575/2013 zwischenzeitlich unterschritten hat und diese später wieder erreicht oder überschreitet. Ein neuer Beschluss ist erst erforderlich, wenn der beschlossene Höchstbetrag für die Risikoposition durch Änderungen nach Satz 1 überschritten wird.</w:t>
      </w:r>
    </w:p>
    <w:p>
      <w:r>
        <w:rPr>
          <w:color w:val="555555"/>
          <w:sz w:val="17"/>
        </w:rPr>
        <w:t xml:space="preserve">Zitiervorschlag: § 3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