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GroMiKV 2014 — Gleichzeitige Anwendung von mehreren Ausnahmen auf eine Risikoposition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28.06.2021 (konsolidierte Textfassung, kein amtliches Inkrafttretensdatum)</w:t>
      </w:r>
    </w:p>
    <w:p>
      <w:r>
        <w:t xml:space="preserve">Eine gleichzeitige Anwendung von mehr als einer der in Artikel 400 Absatz 1 und 2 der Verordnung (EU) Nr. 575/2013 und in den §§ 1 und 2 vorgesehenen Ausnahmen auf ein und dieselbe Risikoposition ist nicht gestattet.</w:t>
      </w:r>
    </w:p>
    <w:p>
      <w:r>
        <w:rPr>
          <w:color w:val="555555"/>
          <w:sz w:val="17"/>
        </w:rPr>
        <w:t xml:space="preserve">Zitiervorschlag: § 2a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