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GroMiKV 2014 — Weitere Ausnahmen von der Anwendung der Obergrenze für Großkredite nach Artikel 395 Absatz 1 der Verordnung (EU) Nr. 575/2013 bei gruppen- und verbundangehörigen Instituten</w:t>
      </w:r>
    </w:p>
    <w:p>
      <w:r>
        <w:rPr>
          <w:color w:val="555555"/>
          <w:sz w:val="18"/>
        </w:rPr>
        <w:t xml:space="preserve">Großkredit- und Millionenkreditverordnung</w:t>
      </w:r>
    </w:p>
    <w:p>
      <w:r>
        <w:rPr>
          <w:color w:val="555555"/>
          <w:sz w:val="18"/>
        </w:rPr>
        <w:t xml:space="preserve">Stand: 28.06.2021 (konsolidierte Textfassung, kein amtliches Inkrafttretensdatum)</w:t>
      </w:r>
    </w:p>
    <w:p>
      <w:r>
        <w:t xml:space="preserve">(1) Bei der Berechnung der Auslastung der Obergrenze für Großkredite nach Artikel 395 Absatz 1 der Verordnung (EU) Nr. 575/2013 sind Beteiligungen und sonstige Anteile eines Instituts an seinem Mutterunternehmen, an anderen Tochterunternehmen seines Mutterunternehmens oder an eigenen Tochterunternehmen, sofern das gruppenangehörige Unternehmen, an dem das Institut diese Beteiligung oder diesen sonstigen Anteil hält, in die Beaufsichtigung auf konsolidierter Basis einbezogen ist, der das Institut nach der Verordnung (EU) Nr. 575/2013, nach der Richtlinie 2002/87/EG oder nach gleichwertigen Normen eines Drittlandes unterliegt, wie folgt ausgenommen:</w:t>
      </w:r>
    </w:p>
    <w:p>
      <w:pPr>
        <w:ind w:left="420"/>
      </w:pPr>
      <w:r>
        <w:t xml:space="preserve">1. eine Beteiligung oder ein sonstiger Anteil, der 25 Prozent des Kernkapitals des Instituts nach Artikel 25 der Verordnung (EU) Nr. 575/2013 nicht überschreitet, in voller Höhe,</w:t>
      </w:r>
    </w:p>
    <w:p>
      <w:pPr>
        <w:ind w:left="420"/>
      </w:pPr>
      <w:r>
        <w:t xml:space="preserve">2. eine Beteiligung oder ein sonstiger Anteil, der 25 Prozent des Kernkapitals des Instituts nach Artikel 25 der Verordnung (EU) Nr. 575/2013 überschreitet, in Höhe des Betrages, der 25 Prozent des Kernkapitals entspricht.</w:t>
      </w:r>
    </w:p>
    <w:p>
      <w:r>
        <w:t xml:space="preserve">Auf Antrag kann die zuständige Aufsichtsbehörde auch qualifizierte Beteiligungen nach Artikel 4 Absatz 1 Nummer 36 der Verordnung (EU) Nr. 575/2013 in der in Satz 1 genannten Weise von der Berechnung der Auslastung der Obergrenze für Großkredite ausnehmen, sofern die Voraussetzungen nach Satz 1 erfüllt sind.</w:t>
      </w:r>
    </w:p>
    <w:p>
      <w:r>
        <w:t xml:space="preserve">(2) Unbeschadet des Artikels 400 Absatz 1 Buchstabe f der Verordnung (EU) Nr. 575/2013 sind bei der Berechnung der Auslastung der Obergrenze für Großkredite nach Artikel 395 Absatz 1 der Verordnung (EU) Nr. 575/2013 in Höhe von 25 Prozent des Kernkapitals Risikopositionen eines Instituts gegenüber seinem Mutterunternehmen, gegenüber anderen Tochterunternehmen seines Mutterunternehmens und gegenüber eigenen Tochterunternehmen, die weder Beteiligungen noch sonstige Anteile sind, insgesamt in der jeweils nachfolgend genannten Höhe nach Berücksichtigung der Wirkung einer Kreditrisikominderung nach den Artikeln 399, 401 bis 403 der Verordnung (EU) Nr. 575/2013 ausgenommen, sofern das gruppenangehörige Unternehmen, gegenüber dem die Risikoposition besteht, in die Beaufsichtigung auf konsolidierter Basis einbezogen ist, der das Institut nach der Verordnung (EU) Nr. 575/2013, nach der Richtlinie 2002/87/EG oder nach gleichwertigen Normen eines Drittlandes unterliegt,</w:t>
      </w:r>
    </w:p>
    <w:p>
      <w:pPr>
        <w:ind w:left="420"/>
      </w:pPr>
      <w:r>
        <w:t xml:space="preserve">1. in voller Höhe ihrer Bemessungsgrundlage, wenn es sich bei der Risikoposition um eine vor dem 1. Januar 2014 für ein gruppenangehöriges Unternehmen erstmals abgegebene Patronatserklärung des Instituts handelt, die zur Erfüllung konkret bestehender aufsichtlicher Anforderungen abgegeben wurde. Das Institut hat gegenüber der Bundesanstalt die Höhe sowie den erstmaligen Zeitpunkt der Abgabe als auch den jeweiligen Zeitpunkt der Bestätigung einer bereits vor dem 1. Januar 2014 bestehenden Patronatserklärung im Einzelnen anzugeben,</w:t>
      </w:r>
    </w:p>
    <w:p>
      <w:pPr>
        <w:ind w:left="420"/>
      </w:pPr>
      <w:r>
        <w:t xml:space="preserve">2. anderenfalls in Höhe von 75 Prozent ihrer Bemessungsgrundlage.</w:t>
      </w:r>
    </w:p>
    <w:p>
      <w:r>
        <w:t xml:space="preserve">(3) Die Bundesanstalt kann auf Antrag des Instituts zulassen, dass Risikopositionen nach Absatz 2 gegenüber sämtlichen oder einzelnen gruppenangehörigen Unternehmen bei der Berechnung der Auslastung der Obergrenze für Großkredite nach Artikel 395 Absatz 1 der Verordnung (EU) Nr. 575/2013 in Höhe von bis zu 93,75 Prozent ihrer Bemessungsgrundlage ausgenommen werden, sofern</w:t>
      </w:r>
    </w:p>
    <w:p>
      <w:pPr>
        <w:ind w:left="420"/>
      </w:pPr>
      <w:r>
        <w:t xml:space="preserve">1. das gruppenangehörige Unternehmen, gegenüber dem die Risikoposition besteht, in die Beaufsichtigung auf konsolidierter Basis einbezogen ist, der das Institut nach der Verordnung (EU) Nr. 575/2013, nach der Richtlinie 2002/87/EG oder nach gleichwertigen Normen eines Drittlandes unterliegt, und</w:t>
      </w:r>
    </w:p>
    <w:p>
      <w:pPr>
        <w:ind w:left="420"/>
      </w:pPr>
      <w:r>
        <w:t xml:space="preserve">2. das Institut der Bundesanstalt nachweist, dass die Ausnahme für die Liquiditätsversorgung oder für Zwecke der zentralen Risikosteuerung innerhalb der Gruppe notwendig ist und kein unangemessenes Konzentrationsrisiko entsteht.</w:t>
      </w:r>
    </w:p>
    <w:p>
      <w:r>
        <w:t xml:space="preserve">Bei der Antragstellung hat das Institut der Bundesanstalt die Höhe der gegenüber gruppenangehörigen Unternehmen bestehenden Risikopositionen anzugeben.</w:t>
      </w:r>
    </w:p>
    <w:p>
      <w:r>
        <w:t xml:space="preserve">(4) Die Bundesanstalt kann die nach Absatz 3 gewährte Ausnahme von der Anrechnung von Risikopositionen auf die Großkreditobergrenze jederzeit überprüfen; stellt die Bundesanstalt fest, dass gegenüber dem Zeitpunkt der Antragstellung nach Absatz 3 unangemessene Konzentrationsrisiken vorliegen, kann die Bundesanstalt die nach Absatz 3 gewährte Ausnahme nach Anhörung des Instituts widerrufen.</w:t>
      </w:r>
    </w:p>
    <w:p>
      <w:r>
        <w:t xml:space="preserve">(5) Bei der Berechnung der Auslastung der Obergrenze für Großkredite nach Artikel 395 Absatz 1 der Verordnung (EU) Nr. 575/2013 in Höhe von 25 Prozent des Kernkapitals sind Risikopositionen, insbesondere direkte oder indirekte Beteiligungen oder sonstige Anteile, die bei regionalen Kreditinstituten oder Zentralkreditinstituten,</w:t>
      </w:r>
    </w:p>
    <w:p>
      <w:pPr>
        <w:ind w:left="420"/>
      </w:pPr>
      <w:r>
        <w:t xml:space="preserve">1. denen ein Kreditinstitut aufgrund von Rechts- oder Satzungsvorschriften im Rahmen eines Verbunds angeschlossen ist und</w:t>
      </w:r>
    </w:p>
    <w:p>
      <w:pPr>
        <w:ind w:left="420"/>
      </w:pPr>
      <w:r>
        <w:t xml:space="preserve">2. die nach diesen Rechts- oder Satzungsvorschriften beauftragt sind, den Liquiditätsausgleich innerhalb des Verbunds vorzunehmen,</w:t>
      </w:r>
    </w:p>
    <w:p>
      <w:r>
        <w:t xml:space="preserve">Eigenmittel im Sinne von Artikel 72 der Verordnung (EU) Nr. 575/2013 begründen, in Höhe von 75 Prozent ihrer Bemessungsgrundlage nach Berücksichtigung der Wirkung einer Kreditrisikominderung nach den Artikeln 399, 401 bis 403 der Verordnung (EU) Nr. 575/2013 ausgenommen.</w:t>
      </w:r>
    </w:p>
    <w:p>
      <w:r>
        <w:rPr>
          <w:color w:val="555555"/>
          <w:sz w:val="17"/>
        </w:rPr>
        <w:t xml:space="preserve">Zitiervorschlag: § 2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