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GroMiKV 2014 — Stammdaten für Millionenkreditnehmer</w:t>
      </w:r>
    </w:p>
    <w:p>
      <w:r>
        <w:rPr>
          <w:color w:val="555555"/>
          <w:sz w:val="18"/>
        </w:rPr>
        <w:t xml:space="preserve">Großkredit- und Millionenkreditverordnung</w:t>
      </w:r>
    </w:p>
    <w:p>
      <w:r>
        <w:rPr>
          <w:color w:val="555555"/>
          <w:sz w:val="18"/>
        </w:rPr>
        <w:t xml:space="preserve">Stand: 10.06.2019 (konsolidierte Textfassung, kein amtliches Inkrafttretensdatum)</w:t>
      </w:r>
    </w:p>
    <w:p>
      <w:r>
        <w:t xml:space="preserve">(1) Ein am Millionenkreditmeldeverfahren beteiligtes Unternehmen muss die Angaben zu den Stammdaten eines Kunden oder einer Kreditnehmereinheit der zuständigen Hauptverwaltung der Deutschen Bundesbank einfach in Papierform einreichen, wenn</w:t>
      </w:r>
    </w:p>
    <w:p>
      <w:pPr>
        <w:ind w:left="420"/>
      </w:pPr>
      <w:r>
        <w:t xml:space="preserve">1. ein Kredit oder das Volumen der Kredite, den oder die ein am Millionenkreditmeldeverfahren beteiligtes Unternehmen diesem Kreditnehmer oder dieser Kreditnehmereinheit gewährt hat, erstmalig die Millionenkreditmeldegrenze im Sinne des § 14 Absatz 1 Satz 1 des Kreditwesengesetzes erreicht oder übersteigt oder</w:t>
      </w:r>
    </w:p>
    <w:p>
      <w:pPr>
        <w:ind w:left="420"/>
      </w:pPr>
      <w:r>
        <w:t xml:space="preserve">2. sich die folgenden Stammdaten eines Millionenkreditnehmers ändern:</w:t>
      </w:r>
    </w:p>
    <w:p>
      <w:pPr>
        <w:ind w:left="780"/>
      </w:pPr>
      <w:r>
        <w:t xml:space="preserve">a) Name oder Firma,</w:t>
      </w:r>
    </w:p>
    <w:p>
      <w:pPr>
        <w:ind w:left="780"/>
      </w:pPr>
      <w:r>
        <w:t xml:space="preserve">b) Wohnsitz oder Sitz,</w:t>
      </w:r>
    </w:p>
    <w:p>
      <w:pPr>
        <w:ind w:left="780"/>
      </w:pPr>
      <w:r>
        <w:t xml:space="preserve">c) Zuordnung zu einer Kreditnehmereinheit nach § 19 Absatz 2 des Kreditwesengesetzes.</w:t>
      </w:r>
    </w:p>
    <w:p>
      <w:r>
        <w:t xml:space="preserve">Die Meldung nach Satz 1 ist spätestens bis zum 15. Kalendertag der Monate Januar, April, Juli und Oktober, der auf den Beobachtungszeitraum im Sinne von § 14 Absatz 1 Satz 1 des Kreditwesengesetzes folgt, in dem das Ereignis nach Satz 1 Nummer 1 oder 2 eingetreten ist, einzureichen.</w:t>
      </w:r>
    </w:p>
    <w:p>
      <w:r>
        <w:t xml:space="preserve">(2) Für die Meldung nach Absatz 1 sind die folgenden Formulare zu verwenden:</w:t>
      </w:r>
    </w:p>
    <w:p>
      <w:pPr>
        <w:ind w:left="420"/>
      </w:pPr>
      <w:r>
        <w:t xml:space="preserve">1. Einzelmeldung Kreditnehmer für Millionenkreditanzeigen nach § 14 KWG – EA (Anlage 2),</w:t>
      </w:r>
    </w:p>
    <w:p>
      <w:pPr>
        <w:ind w:left="420"/>
      </w:pPr>
      <w:r>
        <w:t xml:space="preserve">2. Meldung über die Zusammensetzung von Gesellschaften bürgerlichen Rechts o. a. für Millionenkreditanzeigen nach § 14 KWG – GbR (Anlage 4),</w:t>
      </w:r>
    </w:p>
    <w:p>
      <w:pPr>
        <w:ind w:left="420"/>
      </w:pPr>
      <w:r>
        <w:t xml:space="preserve">3. Meldung über die Zugehörigkeit eines Kreditnehmers zu mehreren Kreditnehmereinheiten für Millionenkreditanzeigen nach § 14 KWG – MKNE (Anlage 5).</w:t>
      </w:r>
    </w:p>
    <w:p>
      <w:r>
        <w:t xml:space="preserve">Wenn die anzuzeigende Änderung bereits im Datenbestand der Deutschen Bundesbank vorgenommen wurde, darf das am Millionenkreditmeldeverfahren beteiligte Unternehmen auf die Meldung nach Absatz 1 verzichten.</w:t>
      </w:r>
    </w:p>
    <w:p>
      <w:r>
        <w:t xml:space="preserve">(3) Abweichend von Absatz 2 kann die Meldung auch im Rahmen der vorgezogenen Einreichung unter Verwendung des Formulars Vorgezogene Stammdatenmeldung Kreditnehmer für Groß- und Millionenkreditanzeigen nach Artikel 394 der Verordnung (EU) Nr. 575/2013 sowie § 14 KWG – STA (Anlage 3) anstelle des Formulars nach Absatz 2 Nummer 1 (Anlage 2) erfolgen.</w:t>
      </w:r>
    </w:p>
    <w:p>
      <w:r>
        <w:t xml:space="preserve">(4) Mit Zustimmung der bei der Deutschen Bundesbank geführten Evidenzzentrale (Evidenzzentrale) darf ein am Millionenkreditmeldeverfahren beteiligtes Unternehmen die Meldung von Stammdaten abweichend von den in den Absätzen 2 und 3 vorgesehenen Formularen vornehmen, soweit es für die technische Durchführung der Einreichungsverfahren zweckmäßig erscheint und der Informationsgehalt der Meldungen dadurch nicht beeinträchtigt wird.</w:t>
      </w:r>
    </w:p>
    <w:p>
      <w:r>
        <w:t xml:space="preserve">(5) Abweichend von Absatz 1 Satz 1 kann die Bundesanstalt statt der Einreichung in Papierform die elektronische Einreichung durch eine Allgemeinverfügung verbindlich vorgeben, sobald die für die elektronische Stammdateneinreichung erforderlichen technischen Voraussetzungen bei der Deutschen Bundesbank vorliegen. Vor Erlass einer Allgemeinverfügung nach Satz 1 sind die am Meldeverfahren beteiligten Unternehmen und die Deutsche Bundesbank anzuhören. Mindestens zwölf Monate vor dem Erlass einer Allgemeinverfügung ist dieser allen beteiligten Unternehmen gegenüber anzukündigen.</w:t>
      </w:r>
    </w:p>
    <w:p>
      <w:r>
        <w:rPr>
          <w:color w:val="555555"/>
          <w:sz w:val="17"/>
        </w:rPr>
        <w:t xml:space="preserve">Zitiervorschlag: § 16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