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GroMiKV 2014 — Bestimmung des Kreditnehmers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Zwecke des § 14 des Kreditwesengesetzes ist der Kreditnehmer</w:t>
      </w:r>
    </w:p>
    <w:p>
      <w:pPr>
        <w:ind w:left="420"/>
      </w:pPr>
      <w:r>
        <w:t xml:space="preserve">1. bei Forderungen der Forderungsschuldner,</w:t>
      </w:r>
    </w:p>
    <w:p>
      <w:pPr>
        <w:ind w:left="420"/>
      </w:pPr>
      <w:r>
        <w:t xml:space="preserve">2. bei Anteilen an Unternehmen einschließlich Personenhandelsgesellschaften oder Partnerschaften das Unternehmen, an dem die Anteile gehalten werden,</w:t>
      </w:r>
    </w:p>
    <w:p>
      <w:pPr>
        <w:ind w:left="420"/>
      </w:pPr>
      <w:r>
        <w:t xml:space="preserve">3. bei Bürgschaften, Garantien oder anderen Gewährleistungen für Forderungen Dritter der Forderungsschuldner,</w:t>
      </w:r>
    </w:p>
    <w:p>
      <w:pPr>
        <w:ind w:left="420"/>
      </w:pPr>
      <w:r>
        <w:t xml:space="preserve">4. bei dem Ankauf von Wechseln oder Schecks der Einreicher,</w:t>
      </w:r>
    </w:p>
    <w:p>
      <w:pPr>
        <w:ind w:left="420"/>
      </w:pPr>
      <w:r>
        <w:t xml:space="preserve">5. bei Wertgarantien für Anteile an Unternehmen einschließlich Personenhandelsgesellschaften oder Partnerschaften das Unternehmen, an dem die Anteile gehalten werden,</w:t>
      </w:r>
    </w:p>
    <w:p>
      <w:pPr>
        <w:ind w:left="420"/>
      </w:pPr>
      <w:r>
        <w:t xml:space="preserve">6. bei als Festgeschäften ausgestalteten Termingeschäften der Geschäftspartner,</w:t>
      </w:r>
    </w:p>
    <w:p>
      <w:pPr>
        <w:ind w:left="420"/>
      </w:pPr>
      <w:r>
        <w:t xml:space="preserve">7. bei Optionsrechten oder Gewährleistungen für Optionsrechte der Stillhalter,</w:t>
      </w:r>
    </w:p>
    <w:p>
      <w:pPr>
        <w:ind w:left="420"/>
      </w:pPr>
      <w:r>
        <w:t xml:space="preserve">8. bei Gewährleistungen für als Festgeschäfte ausgestaltete Termingeschäfte der Geschäftspartner, für dessen Verbindlichkeiten das Institut einzustehen verspricht,</w:t>
      </w:r>
    </w:p>
    <w:p>
      <w:pPr>
        <w:ind w:left="420"/>
      </w:pPr>
      <w:r>
        <w:t xml:space="preserve">9. bei als Festgeschäften ausgestalteten Termingeschäften sowie Stillhalterverpflichtungen, die kommissionsweise abgeschlossen oder übernommen werden, der Kommittent,</w:t>
      </w:r>
    </w:p>
    <w:p>
      <w:pPr>
        <w:ind w:left="420"/>
      </w:pPr>
      <w:r>
        <w:t xml:space="preserve">10. bei Forderungen aus Kreditderivaten der Kontraktpartner und die dem Kreditderivat zugrunde liegenden Referenzschuldner und</w:t>
      </w:r>
    </w:p>
    <w:p>
      <w:pPr>
        <w:ind w:left="420"/>
      </w:pPr>
      <w:r>
        <w:t xml:space="preserve">11. bei Kreditzusagen die Gegenpartei, gegenüber der die Zusage gegeben wurde.</w:t>
      </w:r>
    </w:p>
    <w:p>
      <w:r>
        <w:t xml:space="preserve">(2) Bei Forderungen aus Geschäften im Sinne des Artikels 112 Buchstabe m (Verbriefungspositionen) oder des Artikels 112 Buchstabe o (Forderungen in Form von Anteilen an Organismen für Gemeinsame Anlagen) der Verordnung (EU) Nr. 575/2013 oder aus anderen Geschäften, bei denen Forderungen aus zugrunde liegenden Vermögenswerten resultieren, hat das Institut das Geschäft als solches für die Zwecke des § 14 des Kreditwesengesetzes wie einen Kreditnehmer zu melden. Nimmt das Institut die Zerlegung nach Artikel 390 Absatz 7 und 8 der Verordnung (EU) Nr. 575/2013 für Großkreditzwecke vor, hat das Institut auch die zugrunde liegenden Vermögenswerte zu melden.</w:t>
      </w:r>
    </w:p>
    <w:p>
      <w:r>
        <w:rPr>
          <w:color w:val="555555"/>
          <w:sz w:val="17"/>
        </w:rPr>
        <w:t xml:space="preserve">Zitiervorschlag: § 14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