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GroMiKV 2014 — Bemessungsgrundlage</w:t>
      </w:r>
    </w:p>
    <w:p>
      <w:r>
        <w:rPr>
          <w:color w:val="555555"/>
          <w:sz w:val="18"/>
        </w:rPr>
        <w:t xml:space="preserve">Großkredit- und Millionenkreditverordnung</w:t>
      </w:r>
    </w:p>
    <w:p>
      <w:r>
        <w:rPr>
          <w:color w:val="555555"/>
          <w:sz w:val="18"/>
        </w:rPr>
        <w:t xml:space="preserve">Stand: 28.06.2021 (konsolidierte Textfassung, kein amtliches Inkrafttretensdatum)</w:t>
      </w:r>
    </w:p>
    <w:p>
      <w:r>
        <w:t xml:space="preserve">(1) Die Bemessungsgrundlage für die Ermittlung der Kreditbeträge nach § 14 des Kreditwesengesetzes ist</w:t>
      </w:r>
    </w:p>
    <w:p>
      <w:pPr>
        <w:ind w:left="420"/>
      </w:pPr>
      <w:r>
        <w:t xml:space="preserve">1. bei den Bilanzaktiva nach § 19 Absatz 1 Satz 2 des Kreditwesengesetzes der Buchwert zuzüglich der darauf vorgenommenen Einzelwertberichtigungen,</w:t>
      </w:r>
    </w:p>
    <w:p>
      <w:pPr>
        <w:ind w:left="420"/>
      </w:pPr>
      <w:r>
        <w:t xml:space="preserve">2. bei Ansprüchen aus Leasingverträgen nach § 19 Absatz 1 Satz 2 Nummer 4 und Satz 3 Nummer 15 des Kreditwesengesetzes der Barwert der Mindestleasingzahlungen nach Artikel 134 Absatz 7 der Verordnung (EU) Nr. 575/2013,</w:t>
      </w:r>
    </w:p>
    <w:p>
      <w:pPr>
        <w:ind w:left="420"/>
      </w:pPr>
      <w:r>
        <w:t xml:space="preserve">3. bei Swap-Geschäften und den für sie übernommenen Gewährleistungen der effektive Kapitalbetrag oder, falls es einen solchen Kapitalbetrag nicht gibt, der aktuelle Marktpreis des Geschäftsgegenstandes,</w:t>
      </w:r>
    </w:p>
    <w:p>
      <w:pPr>
        <w:ind w:left="420"/>
      </w:pPr>
      <w:r>
        <w:t xml:space="preserve">4. bei sonstigen Derivaten und den für sie übernommenen Gewährleistungen der unter der Annahme der tatsächlichen Erfüllung bestehende und zum aktuellen Marktpreis umgerechnete Anspruch des Instituts auf Lieferung oder Abnahme des Geschäftsgegenstandes,</w:t>
      </w:r>
    </w:p>
    <w:p>
      <w:pPr>
        <w:ind w:left="420"/>
      </w:pPr>
      <w:r>
        <w:t xml:space="preserve">5. bei Patronatserklärungen und vergleichbaren Globalgarantien die Summe der Beträge aller vom patronierten Unternehmen gewährten Kredite mit Ausnahme der Kredite an das Institut, abzüglich des eingezahlten Kapitals und der ausgewiesenen Rücklagen des patronierten Unternehmens,</w:t>
      </w:r>
    </w:p>
    <w:p>
      <w:pPr>
        <w:ind w:left="420"/>
      </w:pPr>
      <w:r>
        <w:t xml:space="preserve">6. bei Pensions- oder Darlehensgeschäften, die sich auf Wertpapiere oder Waren beziehen und bei denen das Institut der Pensions- oder Darlehensgeber ist, der Buchwert der Wertpapiere oder Waren,</w:t>
      </w:r>
    </w:p>
    <w:p>
      <w:pPr>
        <w:ind w:left="420"/>
      </w:pPr>
      <w:r>
        <w:t xml:space="preserve">7. bei Pensions- oder Darlehensgeschäften, die sich auf Wertpapiere oder Waren beziehen und bei denen das Institut der Pensions- oder Darlehensnehmer ist, der übertragene Geldbetrag oder der Buchwert der im Gegenzug gestellten Wertpapier- oder Warensicherheit,</w:t>
      </w:r>
    </w:p>
    <w:p>
      <w:pPr>
        <w:ind w:left="420"/>
      </w:pPr>
      <w:r>
        <w:t xml:space="preserve">8. bei Effektenlombardkreditgeschäften der gewährte Kredit und</w:t>
      </w:r>
    </w:p>
    <w:p>
      <w:pPr>
        <w:ind w:left="420"/>
      </w:pPr>
      <w:r>
        <w:t xml:space="preserve">9. bei den anderen außerbilanziellen Geschäften nach § 19 Absatz 1 Satz 3 des Kreditwesengesetzes der Kapitalbetrag, für den das Institut einzustehen hat, oder, falls es einen solchen Kapitalbetrag nicht gibt, der Buchwert.</w:t>
      </w:r>
    </w:p>
    <w:p>
      <w:r>
        <w:t xml:space="preserve">Anteilige Zinsen sind zu berücksichtigen, sofern diese bei der Anwendung der Artikel 387 bis 403 der Verordnung (EU) Nr. 575/2013 zu berücksichtigen wären.</w:t>
      </w:r>
    </w:p>
    <w:p>
      <w:r>
        <w:t xml:space="preserve">(2) Abweichend von Absatz 1 ist für Derivate und Pensions-, Darlehens- oder vergleichbare Geschäfte über Wertpapiere oder Waren die Bemessungsgrundlage nach den Artikeln 271 bis 293 und 299 der Verordnung (EU) Nr. 575/2013 zu ermitteln.</w:t>
      </w:r>
    </w:p>
    <w:p>
      <w:r>
        <w:t xml:space="preserve">(3) Abweichend von Absatz 1 darf ein am Millionenkreditmeldeverfahren beteiligtes Unternehmen im Sinne von § 14 Absatz 1 Satz 1 des Kreditwesengesetzes, das nicht der Verordnung (EU) Nr. 575/2013 unterliegt, für die Zwecke des Teils 2 dieser Verordnung die Bemessungsgrundlage für derivative Adressenausfallrisikopositionen nach einheitlicher Wahl gemäß Artikel 282 der Verordnung (EU) Nr. 575/2013 ermitteln (Ursprungsrisikomethode). Für bestimmte und eindeutig abgegrenzte Teilbereiche darf die Wahl unterschiedlich ausfallen. Die Festlegung von Teilbereichen kann nach verschiedenen Finanzinstrumenten oder nach unterschiedlichen organisatorisch festgelegten Bereichen des Instituts erfolgen. Die Ursprungsrisikomethode nach Artikel 282 der Verordnung (EU) Nr. 575/2013 darf mit Zustimmung der Bundesanstalt auch von Zweigstellen von Unternehmen mit Sitz in einem Drittstaat angewandt werden, die unter die Rechtsverordnung nach § 53c des Kreditwesengesetzes fallen; die Bundesanstalt kann die Zustimmung jederzeit widerrufen.</w:t>
      </w:r>
    </w:p>
    <w:p>
      <w:r>
        <w:rPr>
          <w:color w:val="555555"/>
          <w:sz w:val="17"/>
        </w:rPr>
        <w:t xml:space="preserve">Zitiervorschlag: § 12 GroMiKV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https://recht.nulegal.eu/gesetze/GroMiKV%202014/12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