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GroMiKV 2014 — Begriffsbestimmungen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Geschäftsschluss im Sinne von Teil 2 dieser Verordnung ist täglich um 24 Uhr MEZ/MESZ. Die Bundesanstalt kann auf Antrag eines Instituts einen anderen Zeitpunkt festsetzen, der den Aktivitäten des Instituts angemessen Rechnung trägt.</w:t>
      </w:r>
    </w:p>
    <w:p>
      <w:r>
        <w:t xml:space="preserve">(2) Derivate im Sinne von Teil 2 dieser Verordnung sind solche nach § 19 Absatz 1a des Kreditwesengesetzes.</w:t>
      </w:r>
    </w:p>
    <w:p>
      <w:r>
        <w:rPr>
          <w:color w:val="555555"/>
          <w:sz w:val="17"/>
        </w:rPr>
        <w:t xml:space="preserve">Zitiervorschlag: § 11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