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GroMiKV 2014 — Aufbewahrungsfristen</w:t>
      </w:r>
    </w:p>
    <w:p>
      <w:r>
        <w:rPr>
          <w:color w:val="555555"/>
          <w:sz w:val="18"/>
        </w:rPr>
        <w:t xml:space="preserve">Großkredit- und Millionenkreditverordnung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Institute und die übergeordneten Unternehmen haben die Meldungen zu den Stammdaten und die Meldungen nach Artikel 394 Absatz 1 und 2 der Verordnung (EU) Nr. 575/2013, die sie im laufenden Kalenderjahr und in den zwei vorangegangenen Kalenderjahren eingereicht haben, aufzubewahren.</w:t>
      </w:r>
    </w:p>
    <w:p>
      <w:r>
        <w:rPr>
          <w:color w:val="555555"/>
          <w:sz w:val="17"/>
        </w:rPr>
        <w:t xml:space="preserve">Zitiervorschlag: § 10 GroMiKV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https://recht.nulegal.eu/gesetze/GroMiKV%202014/10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