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GrenzgNLDAG</w:t>
      </w:r>
    </w:p>
    <w:p>
      <w:r>
        <w:rPr>
          <w:color w:val="555555"/>
          <w:sz w:val="18"/>
        </w:rPr>
        <w:t xml:space="preserve">Ausführungsgesetz Grenzgänger Niederlande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Arbeitnehmern, die die Voraussetzungen des § 2 erfüllen, sind auf Antrag in der Bescheinigung nach § 39d des Einkommensteuergesetzes auch die Beträge einzutragen, die nach § 32 Abs. 1 bis 6, den §§ 33, 33a und 33b Abs. 1 bis 3 des Einkommensteuergesetzes zu berücksichtigen sind; § 39d Abs. 2 Nr. 2 des Einkommensteuergesetzes ist insoweit sinngemäß anzuwenden. § 39a Abs. 2 Satz 4 und Abs. 3 des Einkommensteuergesetzes ist sinngemäß anzuwenden.</w:t>
      </w:r>
    </w:p>
    <w:p>
      <w:r>
        <w:rPr>
          <w:color w:val="555555"/>
          <w:sz w:val="17"/>
        </w:rPr>
        <w:t xml:space="preserve">Zitiervorschlag: § 3 GrenzgNLDAG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https://recht.nulegal.eu/gesetze/GrenzgNLDAG/3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GrenzgNLDAG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