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GrenzAV 2014</w:t>
      </w:r>
    </w:p>
    <w:p>
      <w:r>
        <w:rPr>
          <w:color w:val="555555"/>
          <w:sz w:val="18"/>
        </w:rPr>
        <w:t xml:space="preserve">Verordnung über die Ausdehnung des grenznahen Raums und die der Grenzaufsicht unterworfenen Gebiete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14 Absatz 1 Satz 2 des Zollverwaltungsgesetzes, der durch Artikel 1 Nummer 14 Buchstabe a des Gesetzes vom 20. Dezember 1996 (BGBl. I S. 2030) geändert worden ist, verordnet das Bundesministerium der Finanzen:</w:t>
      </w:r>
    </w:p>
    <w:p>
      <w:r>
        <w:rPr>
          <w:color w:val="555555"/>
          <w:sz w:val="17"/>
        </w:rPr>
        <w:t xml:space="preserve">Zitiervorschlag: Eingangsformel GrenzAV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https://recht.nulegal.eu/gesetze/GrenzAV%202014/eingangsformel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