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GrenzÄndVO (Sachsen) — Inkrafttreten</w:t>
      </w:r>
    </w:p>
    <w:p>
      <w:r>
        <w:rPr>
          <w:color w:val="555555"/>
          <w:sz w:val="18"/>
        </w:rPr>
        <w:t xml:space="preserve">Verordnung des Sächsischen Staatsministeriums des Innern zur Änderung von Gemeindegrenzen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20. April 1994</w:t>
      </w:r>
    </w:p>
    <w:p>
      <w:r>
        <w:t xml:space="preserve">Der Staatsminister des Innern</w:t>
      </w:r>
    </w:p>
    <w:p>
      <w:r>
        <w:t xml:space="preserve">In Vertretung</w:t>
      </w:r>
    </w:p>
    <w:p>
      <w:r>
        <w:t xml:space="preserve">Hubert Wicker</w:t>
      </w:r>
    </w:p>
    <w:p>
      <w:r>
        <w:t xml:space="preserve">Staatssekretär</w:t>
      </w:r>
    </w:p>
    <w:p>
      <w:r>
        <w:rPr>
          <w:color w:val="555555"/>
          <w:sz w:val="17"/>
        </w:rPr>
        <w:t xml:space="preserve">Zitiervorschlag: § 6 GrenzÄndVO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https://recht.nulegal.eu/gesetze/Grenz%C3%84ndVO/6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GrenzÄndVO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