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GrdstVV — Zuständigkeit</w:t>
      </w:r>
    </w:p>
    <w:p>
      <w:r>
        <w:rPr>
          <w:color w:val="555555"/>
          <w:sz w:val="18"/>
        </w:rPr>
        <w:t xml:space="preserve">Grundstücksverkehrsordnung</w:t>
      </w:r>
    </w:p>
    <w:p>
      <w:r>
        <w:rPr>
          <w:color w:val="555555"/>
          <w:sz w:val="18"/>
        </w:rPr>
        <w:t xml:space="preserve">Stand: 10.06.2019 (konsolidierte Textfassung, kein amtliches Inkrafttretensdatum)</w:t>
      </w:r>
    </w:p>
    <w:p>
      <w:r>
        <w:t xml:space="preserve">Für die Erteilung der Genehmigung sind die Landkreise und die kreisfreien Städte zuständig. Soweit die Bundesanstalt für vereinigungsbedingte Sonderaufgaben oder eines ihrer Unternehmen verfügungsbefugt ist, wird die Grundstücksverkehrsgenehmigung von dem Oberfinanzpräsidenten der Oberfinanzdirektion Berlin oder von einer von ihm ermächtigten Person erteilt. Die Zuständigkeit des Oberfinanzpräsidenten der Oberfinanzdirektion Berlin entfällt nicht dadurch, daß Anteile an Unternehmen auf Dritte übertragen werden oder, dass Grundstücke aus der Verfügungsbefugnis der Bundesanstalt für vereinigungsbedingte Sonderaufgaben oder einer in § 2 Abs. 1 Satz 1 der Treuhandanstaltumbenennungsverordnung vom 20. Dezember 1994 (BGBl. I S. 3913) bezeichneten Kapitalgesellschaft auf den Bund oder eine Kapitalgesellschaft übertragen worden sind oder übertragen werden, deren sämtliche Geschäftsanteile oder Aktien sich unmittelbar oder mittelbar in der Hand des Bundes befinden.</w:t>
      </w:r>
    </w:p>
    <w:p>
      <w:r>
        <w:rPr>
          <w:color w:val="555555"/>
          <w:sz w:val="17"/>
        </w:rPr>
        <w:t xml:space="preserve">Zitiervorschlag: § 8 GrdstVV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https://recht.nulegal.eu/gesetze/GrdstVV/8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