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GrdstVV — Rechtsmittel</w:t>
      </w:r>
    </w:p>
    <w:p>
      <w:r>
        <w:rPr>
          <w:color w:val="555555"/>
          <w:sz w:val="18"/>
        </w:rPr>
        <w:t xml:space="preserve">Grundstücksverkehrsordnung</w:t>
      </w:r>
    </w:p>
    <w:p>
      <w:r>
        <w:rPr>
          <w:color w:val="555555"/>
          <w:sz w:val="18"/>
        </w:rPr>
        <w:t xml:space="preserve">Stand: 10.06.2019 (konsolidierte Textfassung, kein amtliches Inkrafttretensdatum)</w:t>
      </w:r>
    </w:p>
    <w:p>
      <w:r>
        <w:t xml:space="preserve">Für Streitigkeiten über die Erteilung der Grundstücksverkehrsgenehmigung oder die Aussetzung des Verfahrens nach diesem Gesetz ist der Verwaltungsrechtsweg gegeben. Die Vorschriften der Verwaltungsgerichtsordnung über das Vorverfahren finden auch auf schwebende Beschwerdeverfahren Anwendung. Örtlich zuständig ist das Gericht, in dessen Bezirk die Stelle, die für die Erteilung der Grundstücksverkehrsgenehmigung zuständig ist, ihren Hauptsitz hat. Eine Entscheidung nach diesem Gesetz kann nicht wegen eines Verstoßes gegen die Bestimmungen über die Zuständigkeit angefochten werden.</w:t>
      </w:r>
    </w:p>
    <w:p>
      <w:r>
        <w:rPr>
          <w:color w:val="555555"/>
          <w:sz w:val="17"/>
        </w:rPr>
        <w:t xml:space="preserve">Zitiervorschlag: § 6 GrdstVV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https://recht.nulegal.eu/gesetze/GrdstVV/6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