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GrdstVV — Inhalt der Entscheidung</w:t>
      </w:r>
    </w:p>
    <w:p>
      <w:r>
        <w:rPr>
          <w:color w:val="555555"/>
          <w:sz w:val="18"/>
        </w:rPr>
        <w:t xml:space="preserve">Grundstücksverkehrsordnung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Entscheidung ist das Grundstück zu bezeichnen. Die Versagung der Genehmigung sowie die Aussetzung des Genehmigungsverfahrens sind zu begründen.</w:t>
      </w:r>
    </w:p>
    <w:p>
      <w:r>
        <w:t xml:space="preserve">(2) Die Genehmigung kann insbesondere in den Fällen des § 1 Abs. 1 Satz 2 mit Auflagen verbunden werden, die sicherstellen, daß der Genehmigungszweck erreicht wird. Sie sind zu begründen.</w:t>
      </w:r>
    </w:p>
    <w:p>
      <w:r>
        <w:t xml:space="preserve">(3) Die Entscheidung über den Antrag ist mit einer Rechtsbehelfsbelehrung zu versehen und allen Beteiligten, wenn sie vertreten sind, nur dem Vertreter zuzustellen.</w:t>
      </w:r>
    </w:p>
    <w:p>
      <w:r>
        <w:rPr>
          <w:color w:val="555555"/>
          <w:sz w:val="17"/>
        </w:rPr>
        <w:t xml:space="preserve">Zitiervorschlag: § 4 GrdstVV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https://recht.nulegal.eu/gesetze/GrdstVV/4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