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GrdstVV — Erfordernis der Genehmigung</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(1) Einer Genehmigung bedürfen</w:t>
      </w:r>
    </w:p>
    <w:p>
      <w:pPr>
        <w:ind w:left="420"/>
      </w:pPr>
      <w:r>
        <w:t xml:space="preserve">1. die Auflassung eines Grundstücks und der schuldrechtliche Vertrag hierüber,</w:t>
      </w:r>
    </w:p>
    <w:p>
      <w:pPr>
        <w:ind w:left="420"/>
      </w:pPr>
      <w:r>
        <w:t xml:space="preserve">2. die Bestellung und Übertragung eines Erbbaurechts und der schuldrechtliche Vertrag hierüber.</w:t>
      </w:r>
    </w:p>
    <w:p>
      <w:r>
        <w:t xml:space="preserve">Eine Genehmigung ist nicht erforderlich, wenn</w:t>
      </w:r>
    </w:p>
    <w:p>
      <w:pPr>
        <w:ind w:left="420"/>
      </w:pPr>
      <w:r>
        <w:t xml:space="preserve">1. der Rechtserwerb des Veräußerers aufgrund einer nach dem 28. September 1990 erteilten Grundstücksverkehrsgenehmigung nach diesem Gesetzes auch in seiner vor dem Inkrafttreten dieses Gesetzes geltenden Fassung oder der Grundstücksverkehrsverordnung oder aufgrund einer Investitionsbescheinigung, einer Entscheidung nach § 3a des Vermögensgesetzes, eines Investitionsvorrangbescheides oder nach dieser Nummer in das Grundbuch eingetragen worden ist, sofern nicht ein Vertrag nach § 3c des Vermögensgesetzes vorliegt, oder wenn das Eigentum nach einer Feststellung nach § 13 Abs. 2 des Investitionsvorranggesetzes nicht zurückzuübertragen ist oder</w:t>
      </w:r>
    </w:p>
    <w:p>
      <w:pPr>
        <w:ind w:left="420"/>
      </w:pPr>
      <w:r>
        <w:t xml:space="preserve">2. der Rechtserwerb des Veräußerers aufgrund einer Entscheidung nach § 31 Abs. 5 Satz 3 oder § 33 Abs. 4 des Vermögensgesetzes in das Grundbuch eingetragen worden ist oder</w:t>
      </w:r>
    </w:p>
    <w:p>
      <w:pPr>
        <w:ind w:left="420"/>
      </w:pPr>
      <w:r>
        <w:t xml:space="preserve">3. der Veräußerer selbst seit dem 29. Januar 1933 ununterbrochen als Eigentümer im Grundbuch eingetragen war oder zu diesem Zeitpunkt ein Dritter, von dem der Veräußerer das Eigentum im Wege der Erbfolge erlangt hat, im Grundbuch als Eigentümer eingetragen war oder</w:t>
      </w:r>
    </w:p>
    <w:p>
      <w:pPr>
        <w:ind w:left="420"/>
      </w:pPr>
      <w:r>
        <w:t xml:space="preserve">4. das Rechtsgeschäft auf die Eintragung einer Vormerkung gerichtet ist,</w:t>
      </w:r>
    </w:p>
    <w:p>
      <w:pPr>
        <w:ind w:left="420"/>
      </w:pPr>
      <w:r>
        <w:t xml:space="preserve">5. der Rechtserwerb des Veräußerers nach dem 2. Oktober 1990 durch Zuschlagsbeschluß in der Zwangsversteigerung erfolgt und in das Grundbuch eingetragen worden ist oder</w:t>
      </w:r>
    </w:p>
    <w:p>
      <w:pPr>
        <w:ind w:left="420"/>
      </w:pPr>
      <w:r>
        <w:t xml:space="preserve">6. im Zeitpunkt der Eintragung einer Vormerkung zur Sicherung des Rechtserwerbs oder im Zeitpunkt der Eintragung des Rechtserwerbs kein Anmeldevermerk gemäß § 30b Absatz 1 des Vermögensgesetzes im Grundbuch eingetragen ist.</w:t>
      </w:r>
    </w:p>
    <w:p>
      <w:r>
        <w:t xml:space="preserve">Satz 2 Nr. 1 bis 6 gilt für die Bestellung oder Übertragung eines Erbbaurechts entsprechend. Die Genehmigung des schuldrechtlichen Vertrages erfaßt auch das zu seiner Ausführung erforderliche dingliche Rechtsgeschäft; die Genehmigung des dinglichen Rechtsgeschäfts erfaßt auch den zugrundeliegenden schuldrechtlichen Vertrag. Wird die Genehmigung für mehrere Grundstücke beantragt, kann die Genehmigung aber nicht für alle erteilt werden, so ist die Genehmigung auf die einzelnen Grundstücke zu beschränken, für die die Voraussetzungen des § 1 Abs. 2 vorliegen, auch wenn die fraglichen Rechtsgeschäfte in einer Urkunde zusammengefaßt sind.</w:t>
      </w:r>
    </w:p>
    <w:p>
      <w:r>
        <w:t xml:space="preserve">(2) Das Grundbuchamt darf auf Grund eines nach Absatz 1 genehmigungspflichtigen Rechtsgeschäfts eine Eintragung in das Grundbuch erst vornehmen, wenn der Genehmigungsbescheid vorgelegt ist. Es darf nicht mehr eintragen, wenn die zuständige Behörde mitgeteilt hat, daß gegen den Genehmigungsbescheid ein Rechtsbehelf eingelegt worden ist und dieser aufschiebende Wirkung hat. Die zuständige Behörde hat dem Grundbuchamt die Einlegung eines solchen Rechtsbehelfs sowie das Entfallen der aufschiebenden Wirkung unverzüglich mitzuteilen. Der Mitteilung durch die Behörde im Sinne dieses Absatzes steht es gleich, wenn das Grundbuchamt auf anderem Wege durch öffentliche oder öffentlich beglaubigte Urkunde Kenntnis erlangt. Ist die Genehmigung vor dem 3. Oktober 1990 erteilt worden, so kann das Grundbuchamt vor der Eintragung die Vorlage einer Bestätigung der zuständigen Behörde über die Wirksamkeit der Genehmigung verlangen, wenn Anhaltspunkte dafür gegeben sind, daß die Genehmigung infolge der Einlegung eines Rechtsbehelfs nach Satz 2 oder aus sonstigen Gründen nicht wirksam ist.</w:t>
      </w:r>
    </w:p>
    <w:p>
      <w:r>
        <w:rPr>
          <w:color w:val="555555"/>
          <w:sz w:val="17"/>
        </w:rPr>
        <w:t xml:space="preserve">Zitiervorschlag: § 2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