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GrdstVV — Bestandsschutz</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Eine Grundstücksverkehrsgenehmigung nach diesem Gesetz ist nicht deshalb nach Maßgabe des § 5 oder auf Grund eines Rechtsbehelfs aufzuheben, weil Ansprüche nach § 3 Abs. 1 oder § 6 des Vermögensgesetzes angemeldet waren, wenn das Grundstück im Zeitpunkt der Erteilung der Grundstücksverkehrsgenehmigung von dem Anmelder nicht entsprechend § 28 der Grundbuchordnung oder mit einer Angabe bezeichnet war, die diese Bezeichnung nach Rechtsvorschriften ersetzt, oder wenn diese Bezeichnung im Zeitpunkt der Erteilung der Grundstücksverkehrsgenehmigung anhand einer Anschrift oder anderer Angaben ohne Mitwirkung des Anmelders nicht ermittelt werden konnte.</w:t>
      </w:r>
    </w:p>
    <w:p>
      <w:r>
        <w:t xml:space="preserve">(2) Auf Grund einer Auskunft darüber, daß bei der in § 1 Abs. 2 Satz 1 Halbsatz 1 Nr. 1 bezeichneten Stelle keine Anträge auf Rückübertragung des Grundstücks nach § 30 Abs. 1 des Vermögensgesetzes oder keine Mitteilung über einen solchen Antrag eingegangen sind (Negativattest), kann eine Grundstücksverkehrsgenehmigung nach diesem Gesetz ohne weitere Nachforschung nach Ansprüchen gemäß § 3 Abs. 1 und § 6 des Vermögensgesetzes erteilt werden, wenn das Negativattest im Zeitpunkt der Erteilung des Bescheids nicht älter als ein Jahr ist und wenn der Anmelder nicht eine nähere Bezeichnung des Grundstücks im Sinne des Absatzes 1 der Genehmigungsbehörde mitgeteilt hat.</w:t>
      </w:r>
    </w:p>
    <w:p>
      <w:r>
        <w:rPr>
          <w:color w:val="555555"/>
          <w:sz w:val="17"/>
        </w:rPr>
        <w:t xml:space="preserve">Zitiervorschlag: § 11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