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GrdstVV — Geltungsbereich, Genehmigungsanspruch</w:t>
      </w:r>
    </w:p>
    <w:p>
      <w:r>
        <w:rPr>
          <w:color w:val="555555"/>
          <w:sz w:val="18"/>
        </w:rPr>
        <w:t xml:space="preserve">Grundstücksverkehrsordnung</w:t>
      </w:r>
    </w:p>
    <w:p>
      <w:r>
        <w:rPr>
          <w:color w:val="555555"/>
          <w:sz w:val="18"/>
        </w:rPr>
        <w:t xml:space="preserve">Stand: 10.06.2019 (konsolidierte Textfassung, kein amtliches Inkrafttretensdatum)</w:t>
      </w:r>
    </w:p>
    <w:p>
      <w:r>
        <w:t xml:space="preserve">(1) In dem in Artikel 3 des Einigungsvertrages bezeichneten Gebiet bedürfen die in den nachfolgenden Bestimmungen bezeichneten Rechtsgeschäfte einer Grundstücksverkehrsgenehmigung. Die Genehmigung kann auch vor Abschluß der Rechtsgeschäfte erteilt werden; eine solche Genehmigung bleibt nur wirksam, wenn das im voraus genehmigte Rechtsgeschäft binnen zwei Jahren nach der Ausstellung der Genehmigung abgeschlossen wird.</w:t>
      </w:r>
    </w:p>
    <w:p>
      <w:r>
        <w:t xml:space="preserve">(2) Die Grundstücksverkehrsgenehmigung ist auf Antrag jeder der an dem genehmigungspflichtigen Rechtsgeschäft beteiligten Personen zu erteilen, wenn</w:t>
      </w:r>
    </w:p>
    <w:p>
      <w:pPr>
        <w:ind w:left="420"/>
      </w:pPr>
      <w:r>
        <w:t xml:space="preserve">1. bei dem Amt oder Landesamt zur Regelung offener Vermögensfragen oder Bundesamt für zentrale Dienste und offene Vermögensfragen, in dessen Bezirk das Grundstück belegen ist, für das Grundstück in der Ausschlußfrist des § 30a des Vermögensgesetzes ein Antrag auf Rückübertragung nach § 30 Abs. 1 des Vermögensgesetzes oder eine Mitteilung über einen solchen Antrag nicht eingegangen oder ein solcher Antrag bestandskräftig abgelehnt oder zurückgenommen worden ist oder</w:t>
      </w:r>
    </w:p>
    <w:p>
      <w:pPr>
        <w:ind w:left="420"/>
      </w:pPr>
      <w:r>
        <w:t xml:space="preserve">2. der Anmelder zustimmt oder</w:t>
      </w:r>
    </w:p>
    <w:p>
      <w:pPr>
        <w:ind w:left="420"/>
      </w:pPr>
      <w:r>
        <w:t xml:space="preserve">3. die Veräußerung nach § 3c des Vermögensgesetzes erfolgt;</w:t>
      </w:r>
    </w:p>
    <w:p>
      <w:r>
        <w:t xml:space="preserve">sie ist im übrigen zu versagen. Die Grundstücksverkehrsgenehmigung kann auch erteilt werden, wenn der Antrag nach § 30 Abs. 1 des Vermögensgesetzes offensichtlich unbegründet erscheint, insbesondere weil Restitutionsansprüche angemeldet sind, die auf Enteignungen von Vermögenswerten auf besatzungsrechtlicher oder besatzungshoheitlicher Grundlage beruhen, oder weil Grundstücke im komplexen Wohnungsbau oder Siedlungsbau verwendet wurden. Stimmt der Anmelder gemäß Satz 1 Nr. 2 zu, so ist auf seinen Antrag in dem Verfahren nach dem Vermögensgesetz festzustellen, ob er ohne die Durchführung des genehmigungsbedürftigen Rechtsgeschäfts rückübertragungsberechtigt gewesen wäre.</w:t>
      </w:r>
    </w:p>
    <w:p>
      <w:r>
        <w:t xml:space="preserve">(3) Bei der Prüfung gemäß Absatz 2 Satz 1 Nr. 1 bleiben Anträge außer Betracht, wenn die Voraussetzungen des § 11 gegeben sind.</w:t>
      </w:r>
    </w:p>
    <w:p>
      <w:r>
        <w:t xml:space="preserve">(4) Kann die Genehmigung nicht erteilt werden, so setzt die zuständige Behörde das Verfahren bis zum Eintritt der Bestandskraft der Entscheidung über den Antrag nach § 30 Abs. 1 des Vermögensgesetzes aus. Auf Antrag eines Beteiligten ergeht hierüber ein gesonderter Bescheid. Ein Vorgehen nach dem Investitionsvorranggesetz oder § 7 des Vermögenszuordnungsgesetzes sowie für diesen Fall getroffene Vereinbarungen der Beteiligten bleiben unberührt.</w:t>
      </w:r>
    </w:p>
    <w:p>
      <w:r>
        <w:rPr>
          <w:color w:val="555555"/>
          <w:sz w:val="17"/>
        </w:rPr>
        <w:t xml:space="preserve">Zitiervorschlag: § 1 GrdstVV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