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Die Genehmigung ist zu erteilen, wenn</w:t>
      </w:r>
    </w:p>
    <w:p>
      <w:pPr>
        <w:ind w:left="420"/>
      </w:pPr>
      <w:r>
        <w:t xml:space="preserve">1. eine Gemeinde oder ein Gemeindeverband an der Veräußerung beteiligt ist, das veräußerte Grundstück im Gebiet der beteiligten Gemeinde oder des beteiligten Gemeindeverbandes liegt und durch einen Bauleitplan im Sinne des § 1 Abs. 2 des Baugesetzbuchs nachgewiesen wird, daß das Grundstück für andere als die in § 1 bezeichneten Zwecke vorgesehen ist;</w:t>
      </w:r>
    </w:p>
    <w:p>
      <w:pPr>
        <w:ind w:left="420"/>
      </w:pPr>
      <w:r>
        <w:t xml:space="preserve">2. ein landwirtschaftlicher oder forstwirtschaftlicher Betrieb geschlossen veräußert oder im Wege der vorweggenommenen Erbfolge übertragen wird oder an einem Grundstück ein Nießbrauch bestellt wird und der Erwerber oder Nießbraucher entweder der Ehegatte des Eigentümers oder mit dem Eigentümer in gerader Linie oder bis zum dritten Grad in der Seitenlinie verwandt oder bis zum zweiten Grad verschwägert ist;</w:t>
      </w:r>
    </w:p>
    <w:p>
      <w:pPr>
        <w:ind w:left="420"/>
      </w:pPr>
      <w:r>
        <w:t xml:space="preserve">3. ein gemischter Betrieb insgesamt veräußert wird und die land- oder forstwirtschaftliche Fläche nicht die Grundlage für eine selbständige Existenz bietet;</w:t>
      </w:r>
    </w:p>
    <w:p>
      <w:pPr>
        <w:ind w:left="420"/>
      </w:pPr>
      <w:r>
        <w:t xml:space="preserve">4. die Veräußerung einer Grenzverbesserung dient;</w:t>
      </w:r>
    </w:p>
    <w:p>
      <w:pPr>
        <w:ind w:left="420"/>
      </w:pPr>
      <w:r>
        <w:t xml:space="preserve">5. Grundstücke zur Verbesserung der Landbewirtschaftung oder aus anderen volkswirtschaftlich gerechtfertigten Gründen getauscht werden und ein etwaiger Geldausgleich nicht mehr als ein Viertel des höheren Grundstückwertes ausmacht;</w:t>
      </w:r>
    </w:p>
    <w:p>
      <w:pPr>
        <w:ind w:left="420"/>
      </w:pPr>
      <w:r>
        <w:t xml:space="preserve">6. ein Grundstück zur Vermeidung einer Enteignung oder einer bergrechtlichen Grundabtretung an denjenigen veräußert wird, zu dessen Gunsten es enteignet werden könnte oder abgetreten werden müßte, oder ein Grundstück an denjenigen veräußert wird, der das Eigentum auf Grund gesetzlicher Verpflichtung übernehmen muß;</w:t>
      </w:r>
    </w:p>
    <w:p>
      <w:pPr>
        <w:ind w:left="420"/>
      </w:pPr>
      <w:r>
        <w:t xml:space="preserve">7. Ersatzland erworben wird, soweit</w:t>
      </w:r>
    </w:p>
    <w:p>
      <w:pPr>
        <w:ind w:left="780"/>
      </w:pPr>
      <w:r>
        <w:t xml:space="preserve">a) der Erwerber auf das Ersatzland zur Sicherung seiner Existenz oder zur Aufrechterhaltung seines persönlich bewirtschafteten Betriebes angewiesen ist oder</w:t>
      </w:r>
    </w:p>
    <w:p>
      <w:pPr>
        <w:ind w:left="780"/>
      </w:pPr>
      <w:r>
        <w:t xml:space="preserve">b) das Ersatzland zur Erfüllung dem Erwerber wesensgemäß obliegender Aufgaben zu dienen bestimmt ist und es sich bei dem Ersatzland nicht um einen land- oder forstwirtschaftlichen Betrieb handelt;</w:t>
      </w:r>
    </w:p>
    <w:p>
      <w:pPr>
        <w:ind w:left="780"/>
      </w:pPr>
      <w:r>
        <w:t xml:space="preserve">c) eine Gemeinde oder ein Gemeindeverband das Ersatzland zur alsbaldigen Verpachtung oder Veräußerung an einen bestimmten von ihr oder von ihm verdrängten Landwirt benötigt.</w:t>
      </w:r>
    </w:p>
    <w:p>
      <w:r>
        <w:rPr>
          <w:color w:val="555555"/>
          <w:sz w:val="17"/>
        </w:rPr>
        <w:t xml:space="preserve">Zitiervorschlag: § 8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