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Die Entscheidung über die Genehmigung ist binnen einem Monat nach Eingang des Antrags und der Urkunde über das zu genehmigende Rechtsgeschäft bei der örtlich zuständigen Genehmigungsbehörde zu treffen. Kann die Prüfung des Antrags in dieser Zeit nicht abgeschlossen werden oder hat die Genehmigungsbehörde eine Erklärung über die Ausübung des Vorkaufsrechts nach § 12 herbeizuführen, so ist vor Ablauf der Frist dem Veräußerer ein Zwischenbescheid zu erteilen; durch den Zwischenbescheid verlängert sich die Frist des Satzes 1 auf zwei Monate und, falls die bezeichnete Erklärung herbeizuführen ist, auf drei Monate.</w:t>
      </w:r>
    </w:p>
    <w:p>
      <w:r>
        <w:t xml:space="preserve">(2) Die Genehmigung gilt als erteilt, falls nicht binnen der in Absatz 1 genannten Frist die Genehmigungsbehörde eine Entscheidung nach § 9 oder im Falle des § 7 Satz 2 des Reichssiedlungsgesetzes eine Mitteilung über die Verlängerung der Frist zur Ausübung des Vorkaufsrechts dem Veräußerer zustellt.</w:t>
      </w:r>
    </w:p>
    <w:p>
      <w:r>
        <w:t xml:space="preserve">(3) Ist die Entscheidung über die Genehmigung oder die Genehmigung durch Fristablauf unanfechtbar geworden, so hat die Genehmigungsbehörde hierüber auf Antrag ein Zeugnis zu erteilen.</w:t>
      </w:r>
    </w:p>
    <w:p>
      <w:r>
        <w:rPr>
          <w:color w:val="555555"/>
          <w:sz w:val="17"/>
        </w:rPr>
        <w:t xml:space="preserve">Zitiervorschlag: § 6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