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GrdstVG</w:t>
      </w:r>
    </w:p>
    <w:p>
      <w:r>
        <w:rPr>
          <w:color w:val="555555"/>
          <w:sz w:val="18"/>
        </w:rPr>
        <w:t xml:space="preserve">Grundstückverkehrsgesetz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Genehmigung ist nicht notwendig, wenn</w:t>
      </w:r>
    </w:p>
    <w:p>
      <w:pPr>
        <w:ind w:left="420"/>
      </w:pPr>
      <w:r>
        <w:t xml:space="preserve">1. der Bund oder ein Land als Vertragsteil an der Veräußerung beteiligt ist;</w:t>
      </w:r>
    </w:p>
    <w:p>
      <w:pPr>
        <w:ind w:left="420"/>
      </w:pPr>
      <w:r>
        <w:t xml:space="preserve">2. eine mit den Rechten einer Körperschaft des öffentlichen Rechts ausgestattete Religionsgesellschaft ein Grundstück erwirbt, es sei denn, daß es sich um einen land- oder forstwirtschaftlichen Betrieb handelt;</w:t>
      </w:r>
    </w:p>
    <w:p>
      <w:pPr>
        <w:ind w:left="420"/>
      </w:pPr>
      <w:r>
        <w:t xml:space="preserve">3. die Veräußerung oder die Ausübung des Vorkaufsrechts der Durchführung eines Flurbereinigungsverfahrens, eines Siedlungsverfahrens oder eines Verfahrens nach § 37 des Bundesvertriebenengesetzes dient;</w:t>
      </w:r>
    </w:p>
    <w:p>
      <w:pPr>
        <w:ind w:left="420"/>
      </w:pPr>
      <w:r>
        <w:t xml:space="preserve">4. Grundstücke veräußert werden, die im räumlichen Geltungsbereich eines Bebauungsplanes im Sinne des § 30 des Baugesetzbuchs liegen, es sei denn, daß es sich um die Wirtschaftsstelle eines land- oder forstwirtschaftlichen Betriebes oder um Grundstücke handelt, die im Bebauungsplan als Grundstücke im Sinne des § 1 ausgewiesen sind;</w:t>
      </w:r>
    </w:p>
    <w:p>
      <w:pPr>
        <w:ind w:left="420"/>
      </w:pPr>
      <w:r>
        <w:t xml:space="preserve">5. die Veräußerung nach dem bayerischen Almgesetz vom 28. April 1932 (Bereinigte Sammlung des Bayerischen Landesrechts Band IV S. 359) zuletzt geändert durch § 59 des Zweiten Bayerischen Gesetzes zur Anpassung des Landesrechts an den Euro vom 24. April 2001 (GVBl. S. 140) genehmigt ist.</w:t>
      </w:r>
    </w:p>
    <w:p>
      <w:r>
        <w:rPr>
          <w:color w:val="555555"/>
          <w:sz w:val="17"/>
        </w:rPr>
        <w:t xml:space="preserve">Zitiervorschlag: § 4 GrdstVG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https://recht.nulegal.eu/gesetze/GrdstVG/4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