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 GrdstVG</w:t>
      </w:r>
    </w:p>
    <w:p>
      <w:r>
        <w:rPr>
          <w:color w:val="555555"/>
          <w:sz w:val="18"/>
        </w:rPr>
        <w:t xml:space="preserve">Grundstückverkehrsgesetz</w:t>
      </w:r>
    </w:p>
    <w:p>
      <w:r>
        <w:rPr>
          <w:color w:val="555555"/>
          <w:sz w:val="18"/>
        </w:rPr>
        <w:t xml:space="preserve">Stand: 10.06.2019 (konsolidierte Textfassung, kein amtliches Inkrafttretensdatum)</w:t>
      </w:r>
    </w:p>
    <w:p>
      <w:r>
        <w:t xml:space="preserve">Die Bundesregierung wird ermächtigt, zu Verhinderung von Mißbräuchen, welche die Wirksamkeit dieses Gesetzes erheblich beeinträchtigen, für die Veräußerung der durch § 1 betroffenen Grundstücke im Wege der Zwangsversteigerung unter Anlehnung an die Vorschriften des Ersten und Vierten Abschnitts durch Rechtsverordnung zu bestimmen, daß die Abgabe von Geboten und die Erteilung des Zuschlags an einen anderen als den Meistbietenden allgemein oder unter bestimmten sachlichen oder örtlichen Voraussetzungen von einer Bieterlaubnis der Genehmigungsbehörde abhängt, sowie das Verfahren einschließlich der Kosten zu regeln.</w:t>
      </w:r>
    </w:p>
    <w:p>
      <w:r>
        <w:rPr>
          <w:color w:val="555555"/>
          <w:sz w:val="17"/>
        </w:rPr>
        <w:t xml:space="preserve">Zitiervorschlag: § 37 GrdstVG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https://recht.nulegal.eu/gesetze/GrdstVG/37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