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GrdstVG</w:t>
      </w:r>
    </w:p>
    <w:p>
      <w:r>
        <w:rPr>
          <w:color w:val="555555"/>
          <w:sz w:val="18"/>
        </w:rPr>
        <w:t xml:space="preserve">Grundstückverkehrsgesetz</w:t>
      </w:r>
    </w:p>
    <w:p>
      <w:r>
        <w:rPr>
          <w:color w:val="555555"/>
          <w:sz w:val="18"/>
        </w:rPr>
        <w:t xml:space="preserve">Stand: 10.06.2019 (konsolidierte Textfassung, kein amtliches Inkrafttretensdatum)</w:t>
      </w:r>
    </w:p>
    <w:p>
      <w:r>
        <w:t xml:space="preserve">(1) Ist ein landwirtschaftlicher Betrieb vor dem Inkrafttreten dieses Gesetzes auf eine Erbengemeinschaft übergegangen, so gelten für die gerichtliche Zuweisung des Betriebes die Vorschriften der Absätze 2 bis 4.</w:t>
      </w:r>
    </w:p>
    <w:p>
      <w:r>
        <w:t xml:space="preserve">(2) Liegt der Betrieb in den Ländern Hamburg, Niedersachsen, Nordrhein-Westfalen oder Schleswig-Holstein und hat ein Zuweisungsverfahren nach den bisher geltenden Vorschriften nicht stattgefunden, so sind die §§ 13 bis 17 anzuwenden. Diese Vorschriften gelten auch für die Entscheidung über einen Zuweisungsantrag, der vor dem Inkrafttreten dieses Gesetzes nach den bisher geltenden Vorschriften gestellt und über den noch nicht rechtskräftig entschieden ist. Nimmt der Antragsteller im Falle des Satzes 2 den Antrag bis zum Schluß der nächsten mündlichen Verhandlung, jedoch spätestens bis zum Ablauf von drei Monaten nach dem Inkrafttreten dieses Gesetzes zurück oder erklärt er ihn binnen dieser Frist für erledigt, so trägt jeder Beteiligte seine außergerichtlichen Kosten; Gerichtskosten werden nicht erhoben.</w:t>
      </w:r>
    </w:p>
    <w:p>
      <w:r>
        <w:t xml:space="preserve">(3) Liegt der Betrieb in anderen als den in Absatz 2 bezeichneten Ländern, so ist die gerichtliche Zuweisung nach Maßgabe der §§ 13 bis 17 nur zulässig, wenn keiner der Miterben der Einleitung des Zuweisungsverfahrens binnen einer angemessenen Frist widerspricht, die vom Gericht nach Eingang eines Antrags nach § 13 festgesetzt wird. Bei der Festsetzung der Frist sind die Miterben darauf hinzuweisen, daß im Zuweisungsverfahren der Betrieb ungeteilt einem Miterben zu Eigentum zugewiesen werden kann. Der Widerspruch ist schriftlich oder zur Niederschrift der Geschäftsstelle des Gerichts zu erklären. Die §§ 17 bis 19 des Gesetzes über das Verfahren in Familiensachen und in den Angelegenheiten der freiwilligen Gerichtsbarkeit gelten entsprechend.</w:t>
      </w:r>
    </w:p>
    <w:p>
      <w:r>
        <w:t xml:space="preserve">(4) § 17 ist nicht anzuwenden, wenn der Erwerber den Betrieb vor dem Inkrafttreten dieses Gesetzes durch gerichtliche Zuweisung erworben hat.</w:t>
      </w:r>
    </w:p>
    <w:p>
      <w:r>
        <w:rPr>
          <w:color w:val="555555"/>
          <w:sz w:val="17"/>
        </w:rPr>
        <w:t xml:space="preserve">Zitiervorschlag: § 33 GrdstVG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https://recht.nulegal.eu/gesetze/GrdstVG/33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