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 GrdstVG</w:t>
      </w:r>
    </w:p>
    <w:p>
      <w:r>
        <w:rPr>
          <w:color w:val="555555"/>
          <w:sz w:val="18"/>
        </w:rPr>
        <w:t xml:space="preserve">Grundstückverkehrsgesetz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§ 8 Nr. 2 gilt nicht für Höfe im Sinne der in den Ländern Hamburg, Niedersachsen, Nordrhein-Westfalen und Schleswig-Holstein geltenden Höfeordnung in der Fassung der Bekanntmachung vom 26. Juli 1976 (BGBl. I S. 1933), zuletzt geändert durch Artikel 7 Abs. 13 des Gesetzes vom 27. Juni 2000 (BGBl. I S. 897) oder des Landesgesetzes über die Einführung einer Höfeordnung im Lande Rheinland-Pfalz in der Fassung der Bekanntmachung vom 18. April 1967 (GVBl. S. 138), zuletzt geändert durch das Gesetz vom 26. September 2000 (GVBl. S. 397).</w:t>
      </w:r>
    </w:p>
    <w:p>
      <w:r>
        <w:t xml:space="preserve">(2) § 6 ist nicht anzuwenden, wenn nach § 17 Abs. 3 der Höfeordnung in der Fassung der Bekanntmachung vom 26. Juli 1976 (BGBl. I S. 1933), zuletzt geändert durch Artikel 7 Abs. 13 des Gesetzes vom 27. Juni 2000 (BGBl. I S. 897) das Gericht über einen Antrag auf Genehmigung zu entscheiden hat.</w:t>
      </w:r>
    </w:p>
    <w:p>
      <w:r>
        <w:rPr>
          <w:color w:val="555555"/>
          <w:sz w:val="17"/>
        </w:rPr>
        <w:t xml:space="preserve">Zitiervorschlag: § 31 GrdstVG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https://recht.nulegal.eu/gesetze/GrdstVG/31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