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GrdstVG</w:t>
      </w:r>
    </w:p>
    <w:p>
      <w:r>
        <w:rPr>
          <w:color w:val="555555"/>
          <w:sz w:val="18"/>
        </w:rPr>
        <w:t xml:space="preserve">Grundstückverkehrsgesetz</w:t>
      </w:r>
    </w:p>
    <w:p>
      <w:r>
        <w:rPr>
          <w:color w:val="555555"/>
          <w:sz w:val="18"/>
        </w:rPr>
        <w:t xml:space="preserve">Stand: 10.06.2019 (konsolidierte Textfassung, kein amtliches Inkrafttretensdatum)</w:t>
      </w:r>
    </w:p>
    <w:p>
      <w:r>
        <w:t xml:space="preserve">(1) Über den Antrag auf Genehmigung entscheidet die nach Landesrecht zuständige Behörde (Genehmigungsbehörde), soweit nicht das Gericht zu entscheiden hat.</w:t>
      </w:r>
    </w:p>
    <w:p>
      <w:r>
        <w:t xml:space="preserve">(2) Zur Stellung des Antrags auf Genehmigung sind die Vertragsparteien und derjenige, zu dessen Gunsten der Vertrag geschlossen worden ist, berechtigt. Hat ein Notar den Vertrag beurkundet, so gilt dieser als ermächtigt, die Genehmigung zu beantragen.</w:t>
      </w:r>
    </w:p>
    <w:p>
      <w:r>
        <w:rPr>
          <w:color w:val="555555"/>
          <w:sz w:val="17"/>
        </w:rPr>
        <w:t xml:space="preserve">Zitiervorschlag: § 3 GrdstVG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https://recht.nulegal.eu/gesetze/GrdstVG/3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