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GrdstVG</w:t>
      </w:r>
    </w:p>
    <w:p>
      <w:r>
        <w:rPr>
          <w:color w:val="555555"/>
          <w:sz w:val="18"/>
        </w:rPr>
        <w:t xml:space="preserve">Grundstückverkehrsgesetz</w:t>
      </w:r>
    </w:p>
    <w:p>
      <w:r>
        <w:rPr>
          <w:color w:val="555555"/>
          <w:sz w:val="18"/>
        </w:rPr>
        <w:t xml:space="preserve">Stand: 10.06.2019 (konsolidierte Textfassung, kein amtliches Inkrafttretensdatum)</w:t>
      </w:r>
    </w:p>
    <w:p>
      <w:r>
        <w:t xml:space="preserve">Erklärungen des Vorkaufsberechtigten über die Ausübung des Vorkaufsrechts nach dem Reichssiedlungsgesetz hat die Genehmigungsbehörde außer dem Verpflichteten auch dem Käufer und demjenigen mitzuteilen, zu dessen Gunsten der Kaufvertrag geschlossen worden ist; dies gilt nicht, wenn die Ausübung des Vorkaufsrechts nach § 6 Abs. 2 des Reichssiedlungsgesetzes unwirksam ist. Die Mitteilung ist mit einer Begründung darüber zu versehen, warum die Genehmigung der Veräußerung nach § 9 zu versagen wäre, und zuzustellen. § 20 Satz 2 und 3 gilt sinngemäß für die Belehrung über die Zulässigkeit eines Antrags auf gerichtliche Entscheidung nach § 10 des Reichssiedlungsgesetzes.</w:t>
      </w:r>
    </w:p>
    <w:p>
      <w:r>
        <w:rPr>
          <w:color w:val="555555"/>
          <w:sz w:val="17"/>
        </w:rPr>
        <w:t xml:space="preserve">Zitiervorschlag: § 21 GrdstVG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