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Der Betrieb ist dem Miterben zuzuweisen, dem er nach dem wirklichen oder mutmaßlichen Willen des Erblassers zugedacht war. Ist der Miterbe nicht ein Abkömmling und nicht der überlebende Ehegatte des Erblassers, so ist die Zuweisung an ihn nur zulässig, wenn er den Betrieb bewohnt und bewirtschaftet oder mitbewirtschaftet. Die Zuweisung ist ausgeschlossen, wenn der Miterbe zur Übernahme des Betriebes nicht bereit oder zu seiner ordnungsgemäßen Bewirtschaftung nicht geeignet ist.</w:t>
      </w:r>
    </w:p>
    <w:p>
      <w:r>
        <w:t xml:space="preserve">(2) Diese Bestimmungen gelten für die Zuweisung von Teilen des Betriebes sinngemäß.</w:t>
      </w:r>
    </w:p>
    <w:p>
      <w:r>
        <w:rPr>
          <w:color w:val="555555"/>
          <w:sz w:val="17"/>
        </w:rPr>
        <w:t xml:space="preserve">Zitiervorschlag: § 15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