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GrdstVG</w:t>
      </w:r>
    </w:p>
    <w:p>
      <w:r>
        <w:rPr>
          <w:color w:val="555555"/>
          <w:sz w:val="18"/>
        </w:rPr>
        <w:t xml:space="preserve">Grundstückverkehrsgesetz</w:t>
      </w:r>
    </w:p>
    <w:p>
      <w:r>
        <w:rPr>
          <w:color w:val="555555"/>
          <w:sz w:val="18"/>
        </w:rPr>
        <w:t xml:space="preserve">Stand: 10.06.2019 (konsolidierte Textfassung, kein amtliches Inkrafttretensdatum)</w:t>
      </w:r>
    </w:p>
    <w:p>
      <w:r>
        <w:t xml:space="preserve">(1) Gehört ein landwirtschaftlicher Betrieb einer durch gesetzliche Erbfolge entstandenen Erbengemeinschaft, so kann das Gericht auf Antrag eines Miterben die Gesamtheit der Grundstücke, aus denen der Betrieb besteht, ungeteilt einem Miterben zuweisen; kann der Betrieb in mehrere Betriebe geteilt werden, so kann er geteilt einzeln den Miterben zugewiesen werden. Grundstücke, für die nach ihrer Lage und Beschaffenheit anzunehmen ist, daß sie in absehbarer Zeit anderen als landwirtschaftlichen Zwecken dienen werden, sollen von einer Zuweisung ausgenommen werden. Das Gericht hat die Zuweisung auf Zubehörstücke, Miteigentums-, Kapital- und Geschäftsanteile, dingliche Nutzungsrechte und ähnliche Rechte zu erstrecken, soweit diese Gegenstände zur ordnungsgemäßen Bewirtschaftung des Betriebes notwendig sind.</w:t>
      </w:r>
    </w:p>
    <w:p>
      <w:r>
        <w:t xml:space="preserve">(2) Das Eigentum an den zugewiesenen Sachen und die zugewiesenen Rechte gehen mit der Rechtskraft der gerichtlichen Entscheidung oder, falls in ihr ein späterer Zeitpunkt bestimmt ist, zu diesem Zeitpunkt auf den Miterben über, dem der Betrieb zugewiesen wird (Erwerber).</w:t>
      </w:r>
    </w:p>
    <w:p>
      <w:r>
        <w:t xml:space="preserve">(3) Die Vorschriften der Absätze 1 und 2 gelten nur, soweit die Sachen und Rechte gemeinschaftliches Vermögen der Erben sind. Auf Reichsheimstätten sind sie nicht anzuwenden.</w:t>
      </w:r>
    </w:p>
    <w:p>
      <w:r>
        <w:rPr>
          <w:color w:val="555555"/>
          <w:sz w:val="17"/>
        </w:rPr>
        <w:t xml:space="preserve">Zitiervorschlag: § 13 GrdstVG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https://recht.nulegal.eu/gesetze/GrdstVG/13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