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GrdstVG</w:t>
      </w:r>
    </w:p>
    <w:p>
      <w:r>
        <w:rPr>
          <w:color w:val="555555"/>
          <w:sz w:val="18"/>
        </w:rPr>
        <w:t xml:space="preserve">Grundstückverkehrsgesetz</w:t>
      </w:r>
    </w:p>
    <w:p>
      <w:r>
        <w:rPr>
          <w:color w:val="555555"/>
          <w:sz w:val="18"/>
        </w:rPr>
        <w:t xml:space="preserve">Stand: 10.06.2019 (konsolidierte Textfassung, kein amtliches Inkrafttretensdatum)</w:t>
      </w:r>
    </w:p>
    <w:p>
      <w:r>
        <w:t xml:space="preserve">Liegen die Voraussetzungen vor, unter denen nach dem Reichssiedlungsgesetz das Vorkaufsrecht ausgeübt werden kann, so hat die Genehmigungsbehörde, bevor sie über den Antrag auf Genehmigung entscheidet, den Vertrag der Siedlungsbehörde zur Herbeiführung einer Erklärung über die Ausübung des Vorkaufsrechts durch die vorkaufsberechtigte Stelle vorzulegen.</w:t>
      </w:r>
    </w:p>
    <w:p>
      <w:r>
        <w:rPr>
          <w:color w:val="555555"/>
          <w:sz w:val="17"/>
        </w:rPr>
        <w:t xml:space="preserve">Zitiervorschlag: § 12 GrdstVG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https://recht.nulegal.eu/gesetze/GrdstVG/12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