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kann unter der Bedingung erteilt werden, daß binnen einer bestimmten Frist</w:t>
      </w:r>
    </w:p>
    <w:p>
      <w:pPr>
        <w:ind w:left="420"/>
      </w:pPr>
      <w:r>
        <w:t xml:space="preserve">1. die Vertragsparteien einzelne Vertragsbestimmungen, denen Bedenken aus einem der in § 9 aufgeführten Tatbestände entgegenstehen, in bestimmter Weise ändern,</w:t>
      </w:r>
    </w:p>
    <w:p>
      <w:pPr>
        <w:ind w:left="420"/>
      </w:pPr>
      <w:r>
        <w:t xml:space="preserve">2. der Erwerber das landwirtschaftliche Grundstück auf eine bestimmte Zeit an einen Landwirt verpachtet,</w:t>
      </w:r>
    </w:p>
    <w:p>
      <w:pPr>
        <w:ind w:left="420"/>
      </w:pPr>
      <w:r>
        <w:t xml:space="preserve">3. der Erwerber an anderer Stelle Land abgibt, jedoch nicht mehr, als der Größe oder dem Wert des zu erwerbenden Grundstücks entspricht.</w:t>
      </w:r>
    </w:p>
    <w:p>
      <w:r>
        <w:t xml:space="preserve">(2) Ist die Bedingung eingetreten, so hat die Genehmigungsbehörde hierüber auf Antrag eine Bescheinigung zu erteilen.</w:t>
      </w:r>
    </w:p>
    <w:p>
      <w:r>
        <w:rPr>
          <w:color w:val="555555"/>
          <w:sz w:val="17"/>
        </w:rPr>
        <w:t xml:space="preserve">Zitiervorschlag: § 11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