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Abschnitts gelten für landwirtschaftliche und forstwirtschaftliche Grundstücke sowie für Moor- und Ödland, das in landwirtschaftliche oder forstwirtschaftliche Kultur gebracht werden kann.</w:t>
      </w:r>
    </w:p>
    <w:p>
      <w:r>
        <w:t xml:space="preserve">(2) Landwirtschaft im Sinne dieses Gesetzes ist die Bodenbewirtschaftung und die mit der Bodennutzung verbundene Tierhaltung, um pflanzliche oder tierische Erzeugnisse zu gewinnen, besonders der Ackerbau, die Wiesen- und Weidewirtschaft, der Erwerbsgartenbau, der Erwerbsobstbau und der Weinbau sowie die Fischerei in Binnengewässern.</w:t>
      </w:r>
    </w:p>
    <w:p>
      <w:r>
        <w:t xml:space="preserve">(3) Grundstück im Sinne dieses Gesetzes ist auch ein Teil eines Grundstücks.</w:t>
      </w:r>
    </w:p>
    <w:p>
      <w:r>
        <w:rPr>
          <w:color w:val="555555"/>
          <w:sz w:val="17"/>
        </w:rPr>
        <w:t xml:space="preserve">Zitiervorschlag: § 1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