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GravMstrV</w:t>
      </w:r>
    </w:p>
    <w:p>
      <w:r>
        <w:rPr>
          <w:color w:val="555555"/>
          <w:sz w:val="18"/>
        </w:rPr>
        <w:t xml:space="preserve">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Abs. 2 in Verbindung mit Abs. 1 der Handwerksordnung in der Fassung der Bekanntmachung vom 24. September 1998 (BGBl. I S. 3074), der durch Artikel 2 Nr. 24 des Gesetzes vom 23. März 2005 (BGBl. I S. 931)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GravMstrV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https://recht.nulegal.eu/gesetze/GravMstrV/eingangsformel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