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GravMstrV — Gliederung, Prüfungsdauer und Bestehen des Teils II</w:t>
      </w:r>
    </w:p>
    <w:p>
      <w:r>
        <w:rPr>
          <w:color w:val="555555"/>
          <w:sz w:val="18"/>
        </w:rPr>
        <w:t xml:space="preserve">Graveurmeisterverordnung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Technik und Gestaltung,</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Technik und GestaltungDer Prüfling soll nachweisen, dass er in der Lage ist, fertigungstechnische und gestalterische Aufgaben unter Berücksichtigung wirtschaftlicher und ökologischer Aspekte in einem Graveurbetrieb zu bearbeiten. Dabei soll er berufsbezogene Sachverhalte analysieren und bewerten. Bei der jeweiligen Aufgabenstellung sollen mehrere der unter Buchstabe a bis f aufgeführten Qualifikationen verknüpft werden:</w:t>
      </w:r>
    </w:p>
    <w:p>
      <w:pPr>
        <w:ind w:left="780"/>
      </w:pPr>
      <w:r>
        <w:t xml:space="preserve">a) konzeptionelle und gestalterische Lösungen für Problemstellungen im Bereich der Graviertechnik erarbeiten, bewerten und korrigieren,</w:t>
      </w:r>
    </w:p>
    <w:p>
      <w:pPr>
        <w:ind w:left="780"/>
      </w:pPr>
      <w:r>
        <w:t xml:space="preserve">b) Informationen für den Fertigungsprozess beurteilen, Werkstoffe, Werkzeuge und Maschinen den entsprechenden Fertigungstechniken zuordnen und auswählen,</w:t>
      </w:r>
    </w:p>
    <w:p>
      <w:pPr>
        <w:ind w:left="780"/>
      </w:pPr>
      <w:r>
        <w:t xml:space="preserve">c) Lösungen für Probleme der Wärmebehandlung, insbesondere Härten von Werkstoffen, erarbeiten, bewerten und korrigieren,</w:t>
      </w:r>
    </w:p>
    <w:p>
      <w:pPr>
        <w:ind w:left="780"/>
      </w:pPr>
      <w:r>
        <w:t xml:space="preserve">d) Verfahren zur Oberflächenbehandlung und -gestaltung beschreiben und bewerten sowie Fertigungs- und Gestaltungsprozessen zuordnen,</w:t>
      </w:r>
    </w:p>
    <w:p>
      <w:pPr>
        <w:ind w:left="780"/>
      </w:pPr>
      <w:r>
        <w:t xml:space="preserve">e) die Bedeutung der Stilkunde, der Heraldik und der Kunstgeschichte sowie der historischen und zeitgemäßen Formensprache für die Anfertigung und Instandhaltung von Gravierarbeiten darstellen,</w:t>
      </w:r>
    </w:p>
    <w:p>
      <w:pPr>
        <w:ind w:left="780"/>
      </w:pPr>
      <w:r>
        <w:t xml:space="preserve">f) Freihandzeichnen, Schriftgestaltung und Modellherstellung beherrschen;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g aufgeführten Qualifikationen verknüpft werden:</w:t>
      </w:r>
    </w:p>
    <w:p>
      <w:pPr>
        <w:ind w:left="780"/>
      </w:pPr>
      <w:r>
        <w:t xml:space="preserve">a) Angebotsunterlagen erstellen und Angebote auswerten, Angebotskalkulation durchführen,</w:t>
      </w:r>
    </w:p>
    <w:p>
      <w:pPr>
        <w:ind w:left="780"/>
      </w:pPr>
      <w:r>
        <w:t xml:space="preserve">b) Methoden und Verfahren der Arbeitsplanung und -organisation unter Berücksichtigung der Fertigungs- und Instandsetzungstechnik sowie gestalterischer Aspekte, des Einsatzes von Material, Geräten und Personal bewerten, dabei qualitätssichernde Aspekte darstellen sowie Schnittstellen zwischen Arbeitsbereichen berücksichtigen,</w:t>
      </w:r>
    </w:p>
    <w:p>
      <w:pPr>
        <w:ind w:left="780"/>
      </w:pPr>
      <w:r>
        <w:t xml:space="preserve">c) berufsbezogene rechtliche Vorschriften und technische Normen sowie anerkannte Regeln der Technik anwenden, insbesondere Haftung bei der Herstellung, der Instandhaltung und bei Serviceleistungen beurteilen,</w:t>
      </w:r>
    </w:p>
    <w:p>
      <w:pPr>
        <w:ind w:left="780"/>
      </w:pPr>
      <w:r>
        <w:t xml:space="preserve">d) technische Unterlagen, insbesondere Skizzen und Zeichnungen, erarbeiten sowie vorgegebene Skizzen und Zeichnungen bewerten und korrigieren,</w:t>
      </w:r>
    </w:p>
    <w:p>
      <w:pPr>
        <w:ind w:left="780"/>
      </w:pPr>
      <w:r>
        <w:t xml:space="preserve">e) auftragsbezogenen Einsatz von Material, Werkstoffen, Maschinen und Geräten bestimmen und begründen,</w:t>
      </w:r>
    </w:p>
    <w:p>
      <w:pPr>
        <w:ind w:left="780"/>
      </w:pPr>
      <w:r>
        <w:t xml:space="preserve">f) Unteraufträge vergeben und kontrollieren,</w:t>
      </w:r>
    </w:p>
    <w:p>
      <w:pPr>
        <w:ind w:left="780"/>
      </w:pPr>
      <w:r>
        <w:t xml:space="preserve">g) Daten erfassen und bewerten, Vor- und Nachkalkulation durchführen sowie Prüfergebnisse dokumentieren;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Aufgaben der Personalverwaltung wahrnehmen; den Zusammenhang zwischen Personalverwaltung sowie Personalführung und -entwicklung darstellen,</w:t>
      </w:r>
    </w:p>
    <w:p>
      <w:pPr>
        <w:ind w:left="780"/>
      </w:pPr>
      <w:r>
        <w:t xml:space="preserve">e) betriebliches Qualitätsmanagement planen und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in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8 GravMstrV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https://recht.nulegal.eu/gesetze/GravMstrV/8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