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GravMstrV — Situationsaufgabe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Graveur-Handwerk. Die Aufgabenstellung erfolgt durch den Meisterprüfungsausschuss.</w:t>
      </w:r>
    </w:p>
    <w:p>
      <w:r>
        <w:t xml:space="preserve">(2) Als Situationsaufgabe ist die nachstehende Arbeit auszuführen: Fehler oder Mängel an Graveurprodukten oder Störungen an Fertigungseinrichtungen unter Berücksichtigung von Qualität, Zeit, Materialeinsatz und Arbeitsorganisation feststellen, eingrenzen und beheben.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