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GravMstrV — Meisterprüfungsprojekt</w:t>
      </w:r>
    </w:p>
    <w:p>
      <w:r>
        <w:rPr>
          <w:color w:val="555555"/>
          <w:sz w:val="18"/>
        </w:rPr>
        <w:t xml:space="preserve">Graveurmeisterverordnung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Die auftragsbezogenen Kundenanforderungen werden vom Meisterprüfungsausschuss festgelegt. Vorschläge des Prüflings für den Kundenauftrag sollen berücksichtigt werden.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ist ein Gebrauchs-, Zier- oder Kunstgegenstand oder ein Werkzeug aus Edel- oder Unedelmetall</w:t>
      </w:r>
    </w:p>
    <w:p>
      <w:pPr>
        <w:ind w:left="420"/>
      </w:pPr>
      <w:r>
        <w:t xml:space="preserve">a) mit mindestens drei verschiedenen Flachgraviertechniken oder</w:t>
      </w:r>
    </w:p>
    <w:p>
      <w:pPr>
        <w:ind w:left="420"/>
      </w:pPr>
      <w:r>
        <w:t xml:space="preserve">b) als Reliefgravierarbeit</w:t>
      </w:r>
    </w:p>
    <w:p>
      <w:r>
        <w:t xml:space="preserve">zu entwerfen, eine Werkstattzeichnung mit dazugehörenden Plänen sowie einen Arbeitsplan zu erstellen, die Arbeiten zu kalkulieren und durchzuführen sowie eine Dokumentation zu erstellen.</w:t>
      </w:r>
    </w:p>
    <w:p>
      <w:r>
        <w:t xml:space="preserve">(4) Die Entwurfs-, Planungs-, Kalkulations- und Dokumentationsunterlagen werden mit 40 vom Hundert und die durchgeführten Arbeiten mit 60 vom Hundert gewichtet.</w:t>
      </w:r>
    </w:p>
    <w:p>
      <w:r>
        <w:rPr>
          <w:color w:val="555555"/>
          <w:sz w:val="17"/>
        </w:rPr>
        <w:t xml:space="preserve">Zitiervorschlag: § 4 GravMstrV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https://recht.nulegal.eu/gesetze/GravMstrV/4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