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GravMstrV — Meisterprüfungsberufsbild</w:t>
      </w:r>
    </w:p>
    <w:p>
      <w:r>
        <w:rPr>
          <w:color w:val="555555"/>
          <w:sz w:val="18"/>
        </w:rPr>
        <w:t xml:space="preserve">Graveurmeisterverordnung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Graveur-Handwerk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einschließlich der Verwendung lösemittelarmer oder wasserbasierter, lösemittelfreier Produkte,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Fertigungstechniken, Instandsetzungsalternativen, berufsbezogenen rechtlichen Vorschriften und technischen Normen sowie der anerkannten Regeln der Technik, Personal, Material und Geräten sowie Einsatzmöglichkeiten von Auszubildenden,</w:t>
      </w:r>
    </w:p>
    <w:p>
      <w:pPr>
        <w:ind w:left="420"/>
      </w:pPr>
      <w:r>
        <w:t xml:space="preserve">5. Logistikkonzepte, insbesondere im Zusammenhang mit der Betriebs- und Lagerausstattung, entwickeln und umsetzen,</w:t>
      </w:r>
    </w:p>
    <w:p>
      <w:pPr>
        <w:ind w:left="420"/>
      </w:pPr>
      <w:r>
        <w:t xml:space="preserve">6. technische Arbeitspläne und Prozessabläufe sowie technische Zeichnungen, insbesondere unter Einsatz von rechnergestützten Systemen, erstellen,</w:t>
      </w:r>
    </w:p>
    <w:p>
      <w:pPr>
        <w:ind w:left="420"/>
      </w:pPr>
      <w:r>
        <w:t xml:space="preserve">7. Skizzen, Entwürfe, Modelle sowie Formen und Gesenke unter Berücksichtigung kreativer Gestaltungsaspekte erstellen,</w:t>
      </w:r>
    </w:p>
    <w:p>
      <w:pPr>
        <w:ind w:left="420"/>
      </w:pPr>
      <w:r>
        <w:t xml:space="preserve">8. Schrifttypographien, Kalligraphien und Freihandzeichnungen unter Berücksichtigung rechnergestützter Gestaltungstechniken beherrschen, dabei insbesondere die Bedeutung der Stilkunde, der Heraldik und der Kunstgeschichte sowie der historischen und zeitgemäßen Formensprache berücksichtigen,</w:t>
      </w:r>
    </w:p>
    <w:p>
      <w:pPr>
        <w:ind w:left="420"/>
      </w:pPr>
      <w:r>
        <w:t xml:space="preserve">9. Graveur-Erzeugnisse planen, entwerfen und mit traditionellen sowie neuen Graviertechniken herstellen,</w:t>
      </w:r>
    </w:p>
    <w:p>
      <w:pPr>
        <w:ind w:left="420"/>
      </w:pPr>
      <w:r>
        <w:t xml:space="preserve">10. Arten und Eigenschaften zu verarbeitender Werkstoffe, einschließlich der Verfahren zur Oberflächenbehandlung und Stoffeigenschaftsänderung bei der Planung und Fertigung von Graveur-Erzeugnissen berücksichtigen, insbesondere Wärmebehandlung und Härteprüfverfahren anwenden,</w:t>
      </w:r>
    </w:p>
    <w:p>
      <w:pPr>
        <w:ind w:left="420"/>
      </w:pPr>
      <w:r>
        <w:t xml:space="preserve">11. manuelle, maschinelle und programmgesteuerte Be- und Verarbeitungsverfahren sowie Füge- und Umformtechniken beherrschen,</w:t>
      </w:r>
    </w:p>
    <w:p>
      <w:pPr>
        <w:ind w:left="420"/>
      </w:pPr>
      <w:r>
        <w:t xml:space="preserve">12. Werkzeuge, insbesondere Präge-, Spritz- und Stempelwerkzeuge herstellen sowie reprotechnische Vorlagen gestaltend bearbeiten; Säuren und Elektrolyte ansetzen,</w:t>
      </w:r>
    </w:p>
    <w:p>
      <w:pPr>
        <w:ind w:left="420"/>
      </w:pPr>
      <w:r>
        <w:t xml:space="preserve">13. Oberflächen in Flach- und Reliefgraviertechniken unter Beachtung kreativer Gestaltungsaspekte bearbeiten und veredeln, insbesondere durch Guillochieren, Tauschieren, Damaszieren, Vergolden, Färben und Lack Einlegen,</w:t>
      </w:r>
    </w:p>
    <w:p>
      <w:pPr>
        <w:ind w:left="420"/>
      </w:pPr>
      <w:r>
        <w:t xml:space="preserve">14. Fehler-, Mängel- und Störungssuche durchführen, Fehler, Mängel und Störungen beseitigen, Ergebnisse bewerten und dokumentieren,</w:t>
      </w:r>
    </w:p>
    <w:p>
      <w:pPr>
        <w:ind w:left="420"/>
      </w:pPr>
      <w:r>
        <w:t xml:space="preserve">15. Leistungen abnehmen und protokollieren, dem Kunden übergeben, abrechnen sowie Nachkalkulation durchführen.</w:t>
      </w:r>
    </w:p>
    <w:p>
      <w:r>
        <w:rPr>
          <w:color w:val="555555"/>
          <w:sz w:val="17"/>
        </w:rPr>
        <w:t xml:space="preserve">Zitiervorschlag: § 2 GravMstrV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https://recht.nulegal.eu/gesetze/GravMstrV/2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