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GradV (Brandenburg) — In-Kraft-Treten, Außer-Kraft-Treten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1. Oktober 2000 in Kraft.</w:t>
      </w:r>
    </w:p>
    <w:p>
      <w:r>
        <w:t xml:space="preserve">(2) Gleichzeitig tritt die Graduiertenförderungsverordnung des Landes Brandenburg vom 10. Dezember 1991 (GVBl. 1992 II S. 8) außer Kraft.</w:t>
      </w:r>
    </w:p>
    <w:p>
      <w:r>
        <w:t xml:space="preserve">Potsdam, den 15. September 2000</w:t>
      </w:r>
    </w:p>
    <w:p>
      <w:r>
        <w:t xml:space="preserve">Der Minister für Wissenschaft, Forschung und Kultur</w:t>
      </w:r>
    </w:p>
    <w:p>
      <w:r>
        <w:t xml:space="preserve">Dr. Wolfgang Hackel</w:t>
      </w:r>
    </w:p>
    <w:p>
      <w:r>
        <w:rPr>
          <w:color w:val="555555"/>
          <w:sz w:val="17"/>
        </w:rPr>
        <w:t xml:space="preserve">Zitiervorschlag: § 8 GradV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https://recht.nulegal.eu/gesetze/GradV/8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