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GradV (Brandenburg) — Tutorien</w:t>
      </w:r>
    </w:p>
    <w:p>
      <w:r>
        <w:rPr>
          <w:color w:val="555555"/>
          <w:sz w:val="18"/>
        </w:rPr>
        <w:t xml:space="preserve">Graduiertenförderungsverordnung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Stipendiaten haben nach Ablauf des ersten Förderjahres die Pflicht, Dienstleistungen in der Lehre (Tutorien) im Umfang von zwei Wochenstunden pro Semester zu erbringen, sofern die Hochschule hierfür die Voraussetzungen schafft.</w:t>
      </w:r>
    </w:p>
    <w:p>
      <w:r>
        <w:t xml:space="preserve">(2) Bei der Auswahl der Themen des Tutoriums soll die eigene wissenschaftliche/künstlerische Arbeit des Stipendiaten oder der Stipendiatin berücksichtigt und der Zusammenhang mit dem Promotionsvorhaben bzw. künstlerischen Entwicklungsvorhaben gewährleistet werden.</w:t>
      </w:r>
    </w:p>
    <w:p>
      <w:r>
        <w:rPr>
          <w:color w:val="555555"/>
          <w:sz w:val="17"/>
        </w:rPr>
        <w:t xml:space="preserve">Zitiervorschlag: § 7 GradV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https://recht.nulegal.eu/gesetze/GradV/7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