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GradV (Brandenburg) — Vergabeverfahren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Stipendien werden öffentlich ausgeschrieben.</w:t>
      </w:r>
    </w:p>
    <w:p>
      <w:r>
        <w:t xml:space="preserve">(2) Die Stipendien werden von der Hochschule auf schriftlichen oder elektronischen Antrag des Bewerbers auf der Grundlage einer Entscheidung der Vergabekommission durch Zuwendungsbescheid bewilligt.</w:t>
      </w:r>
    </w:p>
    <w:p>
      <w:r>
        <w:t xml:space="preserve">(3) Für die Verarbeitung personenbezogener Daten findet § 13 Absatz 8 des Brandenburgischen Hochschulgesetzes vom 18. Dezember 2008 (GVBl. I S. 318) Anwendung.</w:t>
      </w:r>
    </w:p>
    <w:p>
      <w:r>
        <w:rPr>
          <w:color w:val="555555"/>
          <w:sz w:val="17"/>
        </w:rPr>
        <w:t xml:space="preserve">Zitiervorschlag: § 5 GradV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https://recht.nulegal.eu/gesetze/GradV/5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